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CA21" w14:textId="77777777" w:rsidR="00F57FEA" w:rsidRDefault="00F57FEA" w:rsidP="00F57FEA">
      <w:pPr>
        <w:ind w:right="-575"/>
        <w:rPr>
          <w:rFonts w:ascii="Arial" w:hAnsi="Arial" w:cs="Arial"/>
          <w:b/>
          <w:sz w:val="40"/>
          <w:szCs w:val="36"/>
          <w:highlight w:val="yellow"/>
        </w:rPr>
      </w:pPr>
    </w:p>
    <w:p w14:paraId="7D493BC3" w14:textId="09E39B38" w:rsidR="001A5287" w:rsidRPr="001A5287" w:rsidRDefault="0053215B" w:rsidP="00F57FEA">
      <w:pPr>
        <w:ind w:right="-575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NCFE </w:t>
      </w:r>
      <w:r w:rsidR="00F57FEA" w:rsidRPr="001A5287">
        <w:rPr>
          <w:rFonts w:ascii="Arial" w:hAnsi="Arial" w:cs="Arial"/>
          <w:b/>
          <w:sz w:val="48"/>
          <w:szCs w:val="48"/>
        </w:rPr>
        <w:t xml:space="preserve">Level 3 </w:t>
      </w:r>
      <w:r w:rsidR="001A5287" w:rsidRPr="001A5287">
        <w:rPr>
          <w:rFonts w:ascii="Arial" w:hAnsi="Arial" w:cs="Arial"/>
          <w:b/>
          <w:sz w:val="48"/>
          <w:szCs w:val="48"/>
        </w:rPr>
        <w:t>Certificate</w:t>
      </w:r>
      <w:r w:rsidR="009241CE">
        <w:rPr>
          <w:rFonts w:ascii="Arial" w:hAnsi="Arial" w:cs="Arial"/>
          <w:b/>
          <w:sz w:val="48"/>
          <w:szCs w:val="48"/>
        </w:rPr>
        <w:t xml:space="preserve"> in</w:t>
      </w:r>
    </w:p>
    <w:p w14:paraId="7D8697B4" w14:textId="6F6E4A03" w:rsidR="00F57FEA" w:rsidRPr="001A5287" w:rsidRDefault="001A5287" w:rsidP="00F57FEA">
      <w:pPr>
        <w:ind w:right="-575"/>
        <w:rPr>
          <w:rFonts w:ascii="Arial" w:hAnsi="Arial" w:cs="Arial"/>
          <w:b/>
          <w:sz w:val="48"/>
          <w:szCs w:val="48"/>
        </w:rPr>
      </w:pPr>
      <w:r w:rsidRPr="001A5287">
        <w:rPr>
          <w:rFonts w:ascii="Arial" w:hAnsi="Arial" w:cs="Arial"/>
          <w:b/>
          <w:sz w:val="48"/>
          <w:szCs w:val="48"/>
        </w:rPr>
        <w:t>Mathematics for Everyday L</w:t>
      </w:r>
      <w:r w:rsidR="00F57FEA" w:rsidRPr="001A5287">
        <w:rPr>
          <w:rFonts w:ascii="Arial" w:hAnsi="Arial" w:cs="Arial"/>
          <w:b/>
          <w:sz w:val="48"/>
          <w:szCs w:val="48"/>
        </w:rPr>
        <w:t xml:space="preserve">ife </w:t>
      </w:r>
      <w:r w:rsidR="00F57FEA" w:rsidRPr="009241CE">
        <w:rPr>
          <w:rFonts w:ascii="Arial" w:hAnsi="Arial" w:cs="Arial"/>
          <w:b/>
          <w:sz w:val="48"/>
          <w:szCs w:val="48"/>
        </w:rPr>
        <w:t>(</w:t>
      </w:r>
      <w:r w:rsidR="009241CE" w:rsidRPr="009241CE">
        <w:rPr>
          <w:rFonts w:ascii="Arial" w:hAnsi="Arial" w:cs="Arial"/>
          <w:b/>
          <w:sz w:val="48"/>
          <w:szCs w:val="48"/>
        </w:rPr>
        <w:t>603/3437/X</w:t>
      </w:r>
      <w:r w:rsidR="00F57FEA" w:rsidRPr="009241CE">
        <w:rPr>
          <w:rFonts w:ascii="Arial" w:hAnsi="Arial" w:cs="Arial"/>
          <w:b/>
          <w:sz w:val="48"/>
          <w:szCs w:val="48"/>
        </w:rPr>
        <w:t>)</w:t>
      </w:r>
    </w:p>
    <w:p w14:paraId="2F76DBF0" w14:textId="77777777" w:rsidR="00F57FEA" w:rsidRPr="00FE3135" w:rsidRDefault="00F57FEA" w:rsidP="00F57FEA">
      <w:pPr>
        <w:ind w:right="-573"/>
        <w:rPr>
          <w:rFonts w:ascii="Arial" w:hAnsi="Arial" w:cs="Arial"/>
        </w:rPr>
      </w:pPr>
    </w:p>
    <w:p w14:paraId="7DE0504A" w14:textId="256EF860" w:rsidR="00F57FEA" w:rsidRPr="00D05C17" w:rsidRDefault="001A5287" w:rsidP="00F57FEA">
      <w:pPr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Pre-release M</w:t>
      </w:r>
      <w:r w:rsidR="00F57FEA" w:rsidRPr="00F57FEA">
        <w:rPr>
          <w:rFonts w:ascii="Arial" w:hAnsi="Arial" w:cs="Arial"/>
          <w:b/>
          <w:sz w:val="48"/>
          <w:szCs w:val="48"/>
        </w:rPr>
        <w:t>aterial</w:t>
      </w:r>
      <w:r w:rsidR="00D05C17">
        <w:rPr>
          <w:rFonts w:ascii="Arial" w:hAnsi="Arial" w:cs="Arial"/>
          <w:b/>
          <w:sz w:val="48"/>
          <w:szCs w:val="48"/>
        </w:rPr>
        <w:t xml:space="preserve"> </w:t>
      </w:r>
      <w:r w:rsidR="00D05C17">
        <w:rPr>
          <w:rFonts w:ascii="Arial" w:hAnsi="Arial" w:cs="Arial"/>
          <w:b/>
          <w:color w:val="FF0000"/>
          <w:sz w:val="48"/>
          <w:szCs w:val="48"/>
        </w:rPr>
        <w:t>SAMPLE</w:t>
      </w:r>
    </w:p>
    <w:p w14:paraId="21751960" w14:textId="77777777" w:rsidR="00F57FEA" w:rsidRDefault="00F57FEA" w:rsidP="00F57FEA">
      <w:pPr>
        <w:ind w:right="-573"/>
        <w:rPr>
          <w:rFonts w:ascii="Arial" w:hAnsi="Arial" w:cs="ArialMT"/>
          <w:b/>
          <w:sz w:val="28"/>
        </w:rPr>
      </w:pPr>
    </w:p>
    <w:p w14:paraId="5BBFC928" w14:textId="38BC667C" w:rsidR="001A5287" w:rsidRDefault="001A5287" w:rsidP="00F57FEA">
      <w:pPr>
        <w:ind w:right="-573"/>
        <w:rPr>
          <w:rFonts w:ascii="Arial" w:hAnsi="Arial" w:cs="ArialMT"/>
          <w:b/>
          <w:sz w:val="28"/>
        </w:rPr>
      </w:pPr>
      <w:r>
        <w:rPr>
          <w:rFonts w:ascii="Arial" w:hAnsi="Arial" w:cs="ArialMT"/>
          <w:b/>
          <w:sz w:val="28"/>
        </w:rPr>
        <w:t xml:space="preserve">To be issued to learners on </w:t>
      </w:r>
      <w:r w:rsidR="00D05C17">
        <w:rPr>
          <w:rFonts w:ascii="Arial" w:hAnsi="Arial" w:cs="ArialMT"/>
          <w:b/>
          <w:sz w:val="28"/>
        </w:rPr>
        <w:t>DATE</w:t>
      </w:r>
      <w:r w:rsidR="0053215B">
        <w:rPr>
          <w:rFonts w:ascii="Arial" w:hAnsi="Arial" w:cs="ArialMT"/>
          <w:b/>
          <w:sz w:val="28"/>
        </w:rPr>
        <w:t xml:space="preserve"> i</w:t>
      </w:r>
      <w:r w:rsidR="00DF188E">
        <w:rPr>
          <w:rFonts w:ascii="Arial" w:hAnsi="Arial" w:cs="ArialMT"/>
          <w:b/>
          <w:sz w:val="28"/>
        </w:rPr>
        <w:t>n preparation for the external assessment</w:t>
      </w:r>
      <w:r w:rsidR="0053215B">
        <w:rPr>
          <w:rFonts w:ascii="Arial" w:hAnsi="Arial" w:cs="ArialMT"/>
          <w:b/>
          <w:sz w:val="28"/>
        </w:rPr>
        <w:t xml:space="preserve"> (Paper 2)</w:t>
      </w:r>
      <w:r w:rsidR="00DF188E">
        <w:rPr>
          <w:rFonts w:ascii="Arial" w:hAnsi="Arial" w:cs="ArialMT"/>
          <w:b/>
          <w:sz w:val="28"/>
        </w:rPr>
        <w:t>.</w:t>
      </w:r>
    </w:p>
    <w:p w14:paraId="6794D9EC" w14:textId="77777777" w:rsidR="001A5287" w:rsidRDefault="001A5287" w:rsidP="00F57FEA">
      <w:pPr>
        <w:ind w:right="-573"/>
        <w:rPr>
          <w:rFonts w:ascii="Arial" w:hAnsi="Arial" w:cs="ArialMT"/>
          <w:b/>
          <w:sz w:val="28"/>
        </w:rPr>
      </w:pPr>
    </w:p>
    <w:p w14:paraId="54791D22" w14:textId="77777777" w:rsidR="001A5287" w:rsidRDefault="001A5287" w:rsidP="00F57FEA">
      <w:pPr>
        <w:ind w:right="-573"/>
        <w:rPr>
          <w:rFonts w:ascii="Arial" w:hAnsi="Arial" w:cs="ArialMT"/>
          <w:b/>
          <w:sz w:val="28"/>
        </w:rPr>
      </w:pPr>
    </w:p>
    <w:p w14:paraId="455F787E" w14:textId="77777777" w:rsidR="00F57FEA" w:rsidRPr="002A01C4" w:rsidRDefault="00F57FEA" w:rsidP="00F57FEA">
      <w:pPr>
        <w:ind w:right="-573"/>
        <w:rPr>
          <w:rFonts w:ascii="Arial" w:hAnsi="Arial" w:cs="ArialMT"/>
          <w:b/>
          <w:sz w:val="28"/>
        </w:rPr>
      </w:pPr>
      <w:r>
        <w:rPr>
          <w:rFonts w:ascii="Arial" w:hAnsi="Arial" w:cs="ArialMT"/>
          <w:b/>
          <w:sz w:val="28"/>
        </w:rPr>
        <w:t>Learner information</w:t>
      </w:r>
    </w:p>
    <w:p w14:paraId="7A9E5D20" w14:textId="77777777" w:rsidR="00F57FEA" w:rsidRDefault="00F57FEA" w:rsidP="00F57FEA">
      <w:pPr>
        <w:pStyle w:val="BodyText"/>
        <w:numPr>
          <w:ilvl w:val="0"/>
          <w:numId w:val="3"/>
        </w:numPr>
        <w:tabs>
          <w:tab w:val="left" w:pos="583"/>
        </w:tabs>
        <w:spacing w:line="266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This pre-release material is for the below external assessment ONLY.</w:t>
      </w:r>
    </w:p>
    <w:p w14:paraId="28678F49" w14:textId="0AC40B50" w:rsidR="00F57FEA" w:rsidRDefault="001A5287" w:rsidP="00F57FEA">
      <w:pPr>
        <w:pStyle w:val="BodyText"/>
        <w:numPr>
          <w:ilvl w:val="0"/>
          <w:numId w:val="3"/>
        </w:numPr>
        <w:tabs>
          <w:tab w:val="left" w:pos="583"/>
        </w:tabs>
        <w:spacing w:line="266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must not bring this pre-release material into the </w:t>
      </w:r>
      <w:r w:rsidR="00C163AC">
        <w:rPr>
          <w:rFonts w:cs="Arial"/>
          <w:sz w:val="24"/>
          <w:szCs w:val="24"/>
        </w:rPr>
        <w:t>external assessment.</w:t>
      </w:r>
      <w:r>
        <w:rPr>
          <w:rFonts w:cs="Arial"/>
          <w:sz w:val="24"/>
          <w:szCs w:val="24"/>
        </w:rPr>
        <w:t xml:space="preserve"> </w:t>
      </w:r>
    </w:p>
    <w:p w14:paraId="2DCDD65E" w14:textId="6B5B3488" w:rsidR="00183A19" w:rsidRPr="00D6785F" w:rsidRDefault="001A5287" w:rsidP="007253DB">
      <w:pPr>
        <w:pStyle w:val="BodyText"/>
        <w:numPr>
          <w:ilvl w:val="0"/>
          <w:numId w:val="3"/>
        </w:numPr>
        <w:tabs>
          <w:tab w:val="left" w:pos="583"/>
        </w:tabs>
        <w:spacing w:line="266" w:lineRule="exact"/>
        <w:rPr>
          <w:rFonts w:cs="Arial"/>
          <w:sz w:val="24"/>
          <w:szCs w:val="24"/>
        </w:rPr>
      </w:pPr>
      <w:r w:rsidRPr="00D6785F">
        <w:rPr>
          <w:rFonts w:cs="Arial"/>
          <w:sz w:val="24"/>
          <w:szCs w:val="24"/>
        </w:rPr>
        <w:t>You will be provided with a further copy of this</w:t>
      </w:r>
      <w:r w:rsidR="00C163AC" w:rsidRPr="00D6785F">
        <w:rPr>
          <w:rFonts w:cs="Arial"/>
          <w:sz w:val="24"/>
          <w:szCs w:val="24"/>
        </w:rPr>
        <w:t xml:space="preserve"> pre-release material</w:t>
      </w:r>
      <w:r w:rsidR="006B441E" w:rsidRPr="00D6785F">
        <w:rPr>
          <w:rFonts w:cs="Arial"/>
          <w:sz w:val="24"/>
          <w:szCs w:val="24"/>
        </w:rPr>
        <w:t xml:space="preserve"> at the start of the</w:t>
      </w:r>
      <w:r w:rsidR="00183A19" w:rsidRPr="00D6785F">
        <w:rPr>
          <w:rFonts w:cs="Arial"/>
          <w:sz w:val="24"/>
          <w:szCs w:val="24"/>
        </w:rPr>
        <w:t xml:space="preserve"> external assessment.</w:t>
      </w:r>
    </w:p>
    <w:p w14:paraId="55DD2F4A" w14:textId="32CBABB0" w:rsidR="00F57FEA" w:rsidRPr="00183A19" w:rsidRDefault="00F57FEA" w:rsidP="00D6785F">
      <w:pPr>
        <w:pStyle w:val="BodyText"/>
        <w:tabs>
          <w:tab w:val="left" w:pos="583"/>
        </w:tabs>
        <w:spacing w:line="266" w:lineRule="exact"/>
        <w:ind w:left="360"/>
        <w:rPr>
          <w:rFonts w:cs="Arial"/>
          <w:sz w:val="24"/>
          <w:szCs w:val="24"/>
        </w:rPr>
      </w:pPr>
    </w:p>
    <w:p w14:paraId="216BFEA1" w14:textId="77777777" w:rsidR="00F57FEA" w:rsidRDefault="00F57FEA" w:rsidP="00F57FEA">
      <w:pPr>
        <w:pStyle w:val="BodyText"/>
        <w:tabs>
          <w:tab w:val="left" w:pos="583"/>
        </w:tabs>
        <w:spacing w:line="266" w:lineRule="exact"/>
        <w:ind w:left="720"/>
        <w:rPr>
          <w:rFonts w:cs="Arial"/>
          <w:sz w:val="24"/>
          <w:szCs w:val="24"/>
        </w:rPr>
      </w:pPr>
    </w:p>
    <w:p w14:paraId="47142AAC" w14:textId="7307839F" w:rsidR="00F57FEA" w:rsidRPr="00FE3135" w:rsidRDefault="00D05C17" w:rsidP="00F57FEA">
      <w:pPr>
        <w:tabs>
          <w:tab w:val="left" w:pos="6804"/>
        </w:tabs>
        <w:ind w:right="-57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DATE</w:t>
      </w:r>
      <w:r w:rsidR="00812027">
        <w:rPr>
          <w:rFonts w:ascii="Arial" w:hAnsi="Arial" w:cs="Arial"/>
          <w:b/>
          <w:sz w:val="28"/>
        </w:rPr>
        <w:tab/>
      </w:r>
      <w:r w:rsidR="00812027">
        <w:rPr>
          <w:rFonts w:ascii="Arial" w:hAnsi="Arial" w:cs="Arial"/>
          <w:b/>
          <w:sz w:val="28"/>
        </w:rPr>
        <w:tab/>
        <w:t xml:space="preserve">       9.30 am</w:t>
      </w:r>
      <w:r w:rsidR="00BE2A0A">
        <w:rPr>
          <w:rFonts w:ascii="Arial" w:hAnsi="Arial" w:cs="Arial"/>
          <w:b/>
          <w:sz w:val="28"/>
        </w:rPr>
        <w:t>—</w:t>
      </w:r>
      <w:r w:rsidR="00812027">
        <w:rPr>
          <w:rFonts w:ascii="Arial" w:hAnsi="Arial" w:cs="Arial"/>
          <w:b/>
          <w:sz w:val="28"/>
        </w:rPr>
        <w:t>11.30</w:t>
      </w:r>
      <w:r w:rsidR="00F57FEA" w:rsidRPr="00BF4360">
        <w:rPr>
          <w:rFonts w:ascii="Arial" w:hAnsi="Arial" w:cs="Arial"/>
          <w:b/>
          <w:sz w:val="28"/>
        </w:rPr>
        <w:t xml:space="preserve"> am</w:t>
      </w:r>
    </w:p>
    <w:p w14:paraId="6BB5ED8F" w14:textId="77777777" w:rsidR="00F57FEA" w:rsidRPr="00FE3135" w:rsidRDefault="00F57FEA" w:rsidP="00F57FEA">
      <w:pPr>
        <w:ind w:right="-573"/>
        <w:rPr>
          <w:rFonts w:ascii="Arial" w:hAnsi="Arial" w:cs="Arial"/>
          <w:sz w:val="20"/>
        </w:rPr>
      </w:pPr>
    </w:p>
    <w:p w14:paraId="3D67886D" w14:textId="5100697B" w:rsidR="00F57FEA" w:rsidRDefault="00F57FEA" w:rsidP="00F57FEA">
      <w:pPr>
        <w:ind w:right="-573"/>
        <w:rPr>
          <w:rFonts w:ascii="Arial" w:hAnsi="Arial" w:cs="Arial"/>
          <w:sz w:val="28"/>
        </w:rPr>
      </w:pPr>
      <w:r w:rsidRPr="00FE3135">
        <w:rPr>
          <w:rFonts w:ascii="Arial" w:hAnsi="Arial" w:cs="Arial"/>
          <w:b/>
          <w:sz w:val="28"/>
        </w:rPr>
        <w:t>Time allowed:</w:t>
      </w:r>
      <w:r w:rsidR="00812027">
        <w:rPr>
          <w:rFonts w:ascii="Arial" w:hAnsi="Arial" w:cs="Arial"/>
          <w:sz w:val="28"/>
        </w:rPr>
        <w:t xml:space="preserve"> 2 hours</w:t>
      </w:r>
    </w:p>
    <w:p w14:paraId="17DB7A6A" w14:textId="59F3E91B" w:rsidR="00950423" w:rsidRDefault="00950423" w:rsidP="00F57FEA">
      <w:pPr>
        <w:ind w:right="-573"/>
        <w:rPr>
          <w:rFonts w:ascii="Arial" w:hAnsi="Arial" w:cs="Arial"/>
          <w:sz w:val="28"/>
        </w:rPr>
      </w:pPr>
    </w:p>
    <w:p w14:paraId="7D429E47" w14:textId="77777777" w:rsidR="00950423" w:rsidRPr="00FE3135" w:rsidRDefault="00950423" w:rsidP="00F57FEA">
      <w:pPr>
        <w:ind w:right="-573"/>
        <w:rPr>
          <w:rFonts w:ascii="Arial" w:hAnsi="Arial" w:cs="Arial"/>
          <w:sz w:val="28"/>
        </w:rPr>
      </w:pPr>
    </w:p>
    <w:p w14:paraId="47E992A4" w14:textId="77777777" w:rsidR="00B140FD" w:rsidRDefault="00B140FD"/>
    <w:p w14:paraId="2CE20898" w14:textId="77777777" w:rsidR="00D05C17" w:rsidRDefault="00D05C17"/>
    <w:p w14:paraId="523DAA13" w14:textId="77777777" w:rsidR="00D05C17" w:rsidRDefault="00D05C17"/>
    <w:p w14:paraId="3CFDED75" w14:textId="77777777" w:rsidR="00D05C17" w:rsidRDefault="00D05C17"/>
    <w:p w14:paraId="1D95FEB4" w14:textId="77777777" w:rsidR="00D05C17" w:rsidRDefault="00D05C17"/>
    <w:p w14:paraId="147D7A78" w14:textId="77777777" w:rsidR="00D05C17" w:rsidRDefault="00D05C17"/>
    <w:p w14:paraId="7E65A3FB" w14:textId="77777777" w:rsidR="00D05C17" w:rsidRDefault="00D05C17"/>
    <w:p w14:paraId="6F4DF85F" w14:textId="77777777" w:rsidR="00D05C17" w:rsidRDefault="00D05C17"/>
    <w:p w14:paraId="6F2FC3B8" w14:textId="70478409" w:rsidR="00D05C17" w:rsidRDefault="00D05C17" w:rsidP="00D05C17">
      <w:pPr>
        <w:tabs>
          <w:tab w:val="left" w:pos="3784"/>
        </w:tabs>
      </w:pPr>
      <w:r>
        <w:tab/>
      </w:r>
    </w:p>
    <w:p w14:paraId="68ADFBEB" w14:textId="77777777" w:rsidR="00D05C17" w:rsidRDefault="00D05C17"/>
    <w:p w14:paraId="0F5590A6" w14:textId="77777777" w:rsidR="00D05C17" w:rsidRDefault="00D05C17"/>
    <w:p w14:paraId="6B3B719A" w14:textId="77777777" w:rsidR="00D05C17" w:rsidRDefault="00D05C17"/>
    <w:p w14:paraId="3CC0204D" w14:textId="77777777" w:rsidR="00D05C17" w:rsidRDefault="00D05C17"/>
    <w:p w14:paraId="6A4F7156" w14:textId="77777777" w:rsidR="00D05C17" w:rsidRDefault="00D05C17"/>
    <w:p w14:paraId="3F95E555" w14:textId="77777777" w:rsidR="00D05C17" w:rsidRDefault="00D05C17"/>
    <w:p w14:paraId="143313CF" w14:textId="77777777" w:rsidR="00D05C17" w:rsidRDefault="00D05C17"/>
    <w:p w14:paraId="217EB99B" w14:textId="77777777" w:rsidR="00D05C17" w:rsidRDefault="00D05C17"/>
    <w:p w14:paraId="70A5F02C" w14:textId="77777777" w:rsidR="00D05C17" w:rsidRDefault="00D05C17"/>
    <w:p w14:paraId="2C7329A6" w14:textId="77777777" w:rsidR="00D05C17" w:rsidRDefault="00D05C17"/>
    <w:p w14:paraId="0D01B5F4" w14:textId="77777777" w:rsidR="00D05C17" w:rsidRDefault="00D05C17"/>
    <w:p w14:paraId="208D340E" w14:textId="77777777" w:rsidR="00D05C17" w:rsidRPr="004D6AA5" w:rsidRDefault="00D05C17" w:rsidP="00D05C17">
      <w:pPr>
        <w:rPr>
          <w:rFonts w:ascii="Arial" w:hAnsi="Arial" w:cs="Arial"/>
          <w:sz w:val="17"/>
          <w:szCs w:val="17"/>
        </w:rPr>
      </w:pPr>
      <w:r w:rsidRPr="00335E31">
        <w:rPr>
          <w:rFonts w:ascii="Arial" w:eastAsia="Arial" w:hAnsi="Arial" w:cs="Arial"/>
          <w:spacing w:val="-1"/>
          <w:sz w:val="17"/>
          <w:szCs w:val="17"/>
        </w:rPr>
        <w:t>A</w:t>
      </w:r>
      <w:r w:rsidRPr="00335E31">
        <w:rPr>
          <w:rFonts w:ascii="Arial" w:eastAsia="Arial" w:hAnsi="Arial" w:cs="Arial"/>
          <w:sz w:val="17"/>
          <w:szCs w:val="17"/>
        </w:rPr>
        <w:t>ll t</w:t>
      </w:r>
      <w:r w:rsidRPr="00335E31">
        <w:rPr>
          <w:rFonts w:ascii="Arial" w:eastAsia="Arial" w:hAnsi="Arial" w:cs="Arial"/>
          <w:spacing w:val="-2"/>
          <w:sz w:val="17"/>
          <w:szCs w:val="17"/>
        </w:rPr>
        <w:t>h</w:t>
      </w:r>
      <w:r w:rsidRPr="00335E31">
        <w:rPr>
          <w:rFonts w:ascii="Arial" w:eastAsia="Arial" w:hAnsi="Arial" w:cs="Arial"/>
          <w:sz w:val="17"/>
          <w:szCs w:val="17"/>
        </w:rPr>
        <w:t>e</w:t>
      </w:r>
      <w:r w:rsidRPr="00335E3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335E31">
        <w:rPr>
          <w:rFonts w:ascii="Arial" w:eastAsia="Arial" w:hAnsi="Arial" w:cs="Arial"/>
          <w:sz w:val="17"/>
          <w:szCs w:val="17"/>
        </w:rPr>
        <w:t>m</w:t>
      </w:r>
      <w:r w:rsidRPr="00335E31">
        <w:rPr>
          <w:rFonts w:ascii="Arial" w:eastAsia="Arial" w:hAnsi="Arial" w:cs="Arial"/>
          <w:spacing w:val="-2"/>
          <w:sz w:val="17"/>
          <w:szCs w:val="17"/>
        </w:rPr>
        <w:t>a</w:t>
      </w:r>
      <w:r w:rsidRPr="00335E31">
        <w:rPr>
          <w:rFonts w:ascii="Arial" w:eastAsia="Arial" w:hAnsi="Arial" w:cs="Arial"/>
          <w:sz w:val="17"/>
          <w:szCs w:val="17"/>
        </w:rPr>
        <w:t>t</w:t>
      </w:r>
      <w:r w:rsidRPr="00335E31">
        <w:rPr>
          <w:rFonts w:ascii="Arial" w:eastAsia="Arial" w:hAnsi="Arial" w:cs="Arial"/>
          <w:spacing w:val="-2"/>
          <w:sz w:val="17"/>
          <w:szCs w:val="17"/>
        </w:rPr>
        <w:t>e</w:t>
      </w:r>
      <w:r w:rsidRPr="00335E31">
        <w:rPr>
          <w:rFonts w:ascii="Arial" w:eastAsia="Arial" w:hAnsi="Arial" w:cs="Arial"/>
          <w:sz w:val="17"/>
          <w:szCs w:val="17"/>
        </w:rPr>
        <w:t>ri</w:t>
      </w:r>
      <w:r w:rsidRPr="00335E31">
        <w:rPr>
          <w:rFonts w:ascii="Arial" w:eastAsia="Arial" w:hAnsi="Arial" w:cs="Arial"/>
          <w:spacing w:val="-2"/>
          <w:sz w:val="17"/>
          <w:szCs w:val="17"/>
        </w:rPr>
        <w:t>a</w:t>
      </w:r>
      <w:r w:rsidRPr="00335E31">
        <w:rPr>
          <w:rFonts w:ascii="Arial" w:eastAsia="Arial" w:hAnsi="Arial" w:cs="Arial"/>
          <w:sz w:val="17"/>
          <w:szCs w:val="17"/>
        </w:rPr>
        <w:t>l in</w:t>
      </w:r>
      <w:r w:rsidRPr="00335E3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335E31">
        <w:rPr>
          <w:rFonts w:ascii="Arial" w:eastAsia="Arial" w:hAnsi="Arial" w:cs="Arial"/>
          <w:sz w:val="17"/>
          <w:szCs w:val="17"/>
        </w:rPr>
        <w:t>t</w:t>
      </w:r>
      <w:r w:rsidRPr="00335E31">
        <w:rPr>
          <w:rFonts w:ascii="Arial" w:eastAsia="Arial" w:hAnsi="Arial" w:cs="Arial"/>
          <w:spacing w:val="-2"/>
          <w:sz w:val="17"/>
          <w:szCs w:val="17"/>
        </w:rPr>
        <w:t>hi</w:t>
      </w:r>
      <w:r w:rsidRPr="00335E31">
        <w:rPr>
          <w:rFonts w:ascii="Arial" w:eastAsia="Arial" w:hAnsi="Arial" w:cs="Arial"/>
          <w:sz w:val="17"/>
          <w:szCs w:val="17"/>
        </w:rPr>
        <w:t>s</w:t>
      </w:r>
      <w:r w:rsidRPr="00335E31">
        <w:rPr>
          <w:rFonts w:ascii="Arial" w:eastAsia="Arial" w:hAnsi="Arial" w:cs="Arial"/>
          <w:spacing w:val="1"/>
          <w:sz w:val="17"/>
          <w:szCs w:val="17"/>
        </w:rPr>
        <w:t xml:space="preserve"> </w:t>
      </w:r>
      <w:r w:rsidRPr="00335E31">
        <w:rPr>
          <w:rFonts w:ascii="Arial" w:eastAsia="Arial" w:hAnsi="Arial" w:cs="Arial"/>
          <w:spacing w:val="-2"/>
          <w:sz w:val="17"/>
          <w:szCs w:val="17"/>
        </w:rPr>
        <w:t>pub</w:t>
      </w:r>
      <w:r w:rsidRPr="00335E31">
        <w:rPr>
          <w:rFonts w:ascii="Arial" w:eastAsia="Arial" w:hAnsi="Arial" w:cs="Arial"/>
          <w:sz w:val="17"/>
          <w:szCs w:val="17"/>
        </w:rPr>
        <w:t>li</w:t>
      </w:r>
      <w:r w:rsidRPr="00335E31">
        <w:rPr>
          <w:rFonts w:ascii="Arial" w:eastAsia="Arial" w:hAnsi="Arial" w:cs="Arial"/>
          <w:spacing w:val="1"/>
          <w:sz w:val="17"/>
          <w:szCs w:val="17"/>
        </w:rPr>
        <w:t>c</w:t>
      </w:r>
      <w:r w:rsidRPr="00335E31">
        <w:rPr>
          <w:rFonts w:ascii="Arial" w:eastAsia="Arial" w:hAnsi="Arial" w:cs="Arial"/>
          <w:spacing w:val="-2"/>
          <w:sz w:val="17"/>
          <w:szCs w:val="17"/>
        </w:rPr>
        <w:t>a</w:t>
      </w:r>
      <w:r w:rsidRPr="00335E31">
        <w:rPr>
          <w:rFonts w:ascii="Arial" w:eastAsia="Arial" w:hAnsi="Arial" w:cs="Arial"/>
          <w:sz w:val="17"/>
          <w:szCs w:val="17"/>
        </w:rPr>
        <w:t>ti</w:t>
      </w:r>
      <w:r w:rsidRPr="00335E31">
        <w:rPr>
          <w:rFonts w:ascii="Arial" w:eastAsia="Arial" w:hAnsi="Arial" w:cs="Arial"/>
          <w:spacing w:val="-4"/>
          <w:sz w:val="17"/>
          <w:szCs w:val="17"/>
        </w:rPr>
        <w:t>o</w:t>
      </w:r>
      <w:r w:rsidRPr="00335E31">
        <w:rPr>
          <w:rFonts w:ascii="Arial" w:eastAsia="Arial" w:hAnsi="Arial" w:cs="Arial"/>
          <w:sz w:val="17"/>
          <w:szCs w:val="17"/>
        </w:rPr>
        <w:t>n</w:t>
      </w:r>
      <w:r w:rsidRPr="00335E3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335E31">
        <w:rPr>
          <w:rFonts w:ascii="Arial" w:eastAsia="Arial" w:hAnsi="Arial" w:cs="Arial"/>
          <w:sz w:val="17"/>
          <w:szCs w:val="17"/>
        </w:rPr>
        <w:t>is</w:t>
      </w:r>
      <w:r w:rsidRPr="00335E31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335E31">
        <w:rPr>
          <w:rFonts w:ascii="Arial" w:eastAsia="Arial" w:hAnsi="Arial" w:cs="Arial"/>
          <w:spacing w:val="1"/>
          <w:sz w:val="17"/>
          <w:szCs w:val="17"/>
        </w:rPr>
        <w:t>c</w:t>
      </w:r>
      <w:r w:rsidRPr="00335E31">
        <w:rPr>
          <w:rFonts w:ascii="Arial" w:eastAsia="Arial" w:hAnsi="Arial" w:cs="Arial"/>
          <w:spacing w:val="-2"/>
          <w:sz w:val="17"/>
          <w:szCs w:val="17"/>
        </w:rPr>
        <w:t>opy</w:t>
      </w:r>
      <w:r w:rsidRPr="00335E31">
        <w:rPr>
          <w:rFonts w:ascii="Arial" w:eastAsia="Arial" w:hAnsi="Arial" w:cs="Arial"/>
          <w:sz w:val="17"/>
          <w:szCs w:val="17"/>
        </w:rPr>
        <w:t>ri</w:t>
      </w:r>
      <w:r w:rsidRPr="00335E31">
        <w:rPr>
          <w:rFonts w:ascii="Arial" w:eastAsia="Arial" w:hAnsi="Arial" w:cs="Arial"/>
          <w:spacing w:val="-2"/>
          <w:sz w:val="17"/>
          <w:szCs w:val="17"/>
        </w:rPr>
        <w:t>gh</w:t>
      </w:r>
      <w:r w:rsidRPr="00335E31">
        <w:rPr>
          <w:rFonts w:ascii="Arial" w:eastAsia="Arial" w:hAnsi="Arial" w:cs="Arial"/>
          <w:sz w:val="17"/>
          <w:szCs w:val="17"/>
        </w:rPr>
        <w:t>t ©</w:t>
      </w:r>
      <w:r w:rsidRPr="00335E31">
        <w:rPr>
          <w:rFonts w:ascii="Arial" w:eastAsia="Arial" w:hAnsi="Arial" w:cs="Arial"/>
          <w:spacing w:val="-1"/>
          <w:sz w:val="17"/>
          <w:szCs w:val="17"/>
        </w:rPr>
        <w:t xml:space="preserve"> NCF</w:t>
      </w:r>
      <w:r w:rsidRPr="00335E31">
        <w:rPr>
          <w:rFonts w:ascii="Arial" w:eastAsia="Arial" w:hAnsi="Arial" w:cs="Arial"/>
          <w:sz w:val="17"/>
          <w:szCs w:val="17"/>
        </w:rPr>
        <w:t>E.</w:t>
      </w:r>
    </w:p>
    <w:p w14:paraId="5AA47C63" w14:textId="2CF4D005" w:rsidR="00950423" w:rsidRDefault="00950423">
      <w:r>
        <w:br w:type="page"/>
      </w:r>
    </w:p>
    <w:p w14:paraId="7344C637" w14:textId="3CC2AF96" w:rsidR="00C163AC" w:rsidRPr="00C163AC" w:rsidRDefault="007253DB" w:rsidP="00C163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Article A: </w:t>
      </w:r>
      <w:r w:rsidR="00B140FD" w:rsidRPr="00F57FEA">
        <w:rPr>
          <w:rFonts w:ascii="Arial" w:hAnsi="Arial" w:cs="Arial"/>
          <w:b/>
          <w:bCs/>
        </w:rPr>
        <w:t>House prices: how much does one square metre cost in your area?</w:t>
      </w:r>
    </w:p>
    <w:p w14:paraId="30752D88" w14:textId="77777777" w:rsidR="00C163AC" w:rsidRPr="00F57FEA" w:rsidRDefault="00C163AC" w:rsidP="00B140FD">
      <w:pPr>
        <w:rPr>
          <w:rFonts w:ascii="Arial" w:hAnsi="Arial" w:cs="Arial"/>
        </w:rPr>
      </w:pPr>
    </w:p>
    <w:p w14:paraId="1A60967F" w14:textId="77777777" w:rsidR="00B140FD" w:rsidRDefault="00B140FD" w:rsidP="00B140FD">
      <w:pPr>
        <w:rPr>
          <w:rFonts w:ascii="Arial" w:hAnsi="Arial" w:cs="Arial"/>
          <w:b/>
          <w:bCs/>
        </w:rPr>
      </w:pPr>
      <w:r w:rsidRPr="00F57FEA">
        <w:rPr>
          <w:rFonts w:ascii="Arial" w:hAnsi="Arial" w:cs="Arial"/>
          <w:b/>
          <w:bCs/>
        </w:rPr>
        <w:t>Price per square metre</w:t>
      </w:r>
      <w:r w:rsidR="00C163AC">
        <w:rPr>
          <w:rFonts w:ascii="Arial" w:hAnsi="Arial" w:cs="Arial"/>
          <w:b/>
          <w:bCs/>
        </w:rPr>
        <w:t>.</w:t>
      </w:r>
    </w:p>
    <w:p w14:paraId="067A42AF" w14:textId="77777777" w:rsidR="00C163AC" w:rsidRPr="00F57FEA" w:rsidRDefault="00C163AC" w:rsidP="00B140FD">
      <w:pPr>
        <w:rPr>
          <w:rFonts w:ascii="Arial" w:hAnsi="Arial" w:cs="Arial"/>
          <w:b/>
          <w:bCs/>
        </w:rPr>
      </w:pPr>
    </w:p>
    <w:p w14:paraId="1B5CDE10" w14:textId="33EA01FB" w:rsidR="00B140FD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>In 2016 the average cost of propert</w:t>
      </w:r>
      <w:r w:rsidR="00A47FAC">
        <w:rPr>
          <w:rFonts w:ascii="Arial" w:hAnsi="Arial" w:cs="Arial"/>
        </w:rPr>
        <w:t>ies</w:t>
      </w:r>
      <w:r w:rsidRPr="00F57FEA">
        <w:rPr>
          <w:rFonts w:ascii="Arial" w:hAnsi="Arial" w:cs="Arial"/>
        </w:rPr>
        <w:t xml:space="preserve"> sold in England and Wales was £2,395 per square metre.</w:t>
      </w:r>
    </w:p>
    <w:p w14:paraId="335ADA05" w14:textId="77777777" w:rsidR="00BE2A0A" w:rsidRPr="00F57FEA" w:rsidRDefault="00BE2A0A" w:rsidP="00B140FD">
      <w:pPr>
        <w:rPr>
          <w:rFonts w:ascii="Arial" w:hAnsi="Arial" w:cs="Arial"/>
        </w:rPr>
      </w:pPr>
    </w:p>
    <w:p w14:paraId="54BFBEEA" w14:textId="77777777" w:rsidR="00B140FD" w:rsidRPr="00F57FEA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>Unsurprisingly, 19 of the top 20 most expensive local authority areas are in London, with Kensington and Chelsea, the City of London, Westminster and Camden topping the list.</w:t>
      </w:r>
    </w:p>
    <w:p w14:paraId="5B0BEC33" w14:textId="77777777" w:rsidR="00B140FD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>Barking and Dagenham was the least expensive London borough, where homes cost £3,994 per square metre.</w:t>
      </w:r>
    </w:p>
    <w:p w14:paraId="73714E85" w14:textId="77777777" w:rsidR="00C163AC" w:rsidRPr="00F57FEA" w:rsidRDefault="00C163AC" w:rsidP="00B140FD">
      <w:pPr>
        <w:rPr>
          <w:rFonts w:ascii="Arial" w:hAnsi="Arial" w:cs="Arial"/>
        </w:rPr>
      </w:pPr>
    </w:p>
    <w:p w14:paraId="5CDE3708" w14:textId="77777777" w:rsidR="00B140FD" w:rsidRPr="00F57FEA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>Elmbridge in Surrey is the costliest area outside London, while York was the most expensive area in the North of England.</w:t>
      </w:r>
      <w:r w:rsidR="00C163AC">
        <w:rPr>
          <w:rFonts w:ascii="Arial" w:hAnsi="Arial" w:cs="Arial"/>
        </w:rPr>
        <w:t xml:space="preserve"> </w:t>
      </w:r>
      <w:r w:rsidRPr="00F57FEA">
        <w:rPr>
          <w:rFonts w:ascii="Arial" w:hAnsi="Arial" w:cs="Arial"/>
        </w:rPr>
        <w:t>South Wales and Lancashire are the cheapest places to buy property. In Blaenau Gwent, Merthyr Tydfil, Neath Port Talbot, Burnley and Hyndburn, homes cost less than £1,000 per square metre.</w:t>
      </w:r>
    </w:p>
    <w:p w14:paraId="53F20B57" w14:textId="77777777" w:rsidR="00B140FD" w:rsidRPr="00F57FEA" w:rsidRDefault="00B140FD" w:rsidP="00B140FD">
      <w:pPr>
        <w:rPr>
          <w:rFonts w:ascii="Arial" w:hAnsi="Arial" w:cs="Arial"/>
        </w:rPr>
      </w:pPr>
    </w:p>
    <w:p w14:paraId="07A9F5DB" w14:textId="4EB4984A" w:rsidR="00B140FD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 xml:space="preserve">Homes in the most expensive area of England and Wales cost 25 times as much as in the cheapest area, according to </w:t>
      </w:r>
      <w:r w:rsidR="006B441E">
        <w:rPr>
          <w:rFonts w:ascii="Arial" w:hAnsi="Arial" w:cs="Arial"/>
        </w:rPr>
        <w:t xml:space="preserve">the </w:t>
      </w:r>
      <w:r w:rsidRPr="00F57FEA">
        <w:rPr>
          <w:rFonts w:ascii="Arial" w:hAnsi="Arial" w:cs="Arial"/>
        </w:rPr>
        <w:t>Office for National Statistics (ONS) analysis of 2016 property prices.</w:t>
      </w:r>
      <w:r w:rsidR="00C163AC">
        <w:rPr>
          <w:rFonts w:ascii="Arial" w:hAnsi="Arial" w:cs="Arial"/>
        </w:rPr>
        <w:t xml:space="preserve"> </w:t>
      </w:r>
      <w:r w:rsidRPr="00F57FEA">
        <w:rPr>
          <w:rFonts w:ascii="Arial" w:hAnsi="Arial" w:cs="Arial"/>
        </w:rPr>
        <w:t>One square metre of floor space – an area about the size of a red phone box – costs almost £19,439 in Kensington and Chelsea, while in Blaenau Gwent in the South Wales valleys, the same amount of space costs £777.</w:t>
      </w:r>
    </w:p>
    <w:p w14:paraId="1E497F98" w14:textId="77777777" w:rsidR="00C163AC" w:rsidRPr="00F57FEA" w:rsidRDefault="00C163AC" w:rsidP="00B140FD">
      <w:pPr>
        <w:rPr>
          <w:rFonts w:ascii="Arial" w:hAnsi="Arial" w:cs="Arial"/>
        </w:rPr>
      </w:pPr>
    </w:p>
    <w:p w14:paraId="04B0A411" w14:textId="0CFBDAF0" w:rsidR="00B140FD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 xml:space="preserve">ONS also found that new flats in England and Wales have got 18% bigger in the last </w:t>
      </w:r>
      <w:r w:rsidR="003E2513">
        <w:rPr>
          <w:rFonts w:ascii="Arial" w:hAnsi="Arial" w:cs="Arial"/>
        </w:rPr>
        <w:t>3</w:t>
      </w:r>
      <w:r w:rsidR="003E2513" w:rsidRPr="00F57FEA">
        <w:rPr>
          <w:rFonts w:ascii="Arial" w:hAnsi="Arial" w:cs="Arial"/>
        </w:rPr>
        <w:t xml:space="preserve"> </w:t>
      </w:r>
      <w:r w:rsidRPr="00F57FEA">
        <w:rPr>
          <w:rFonts w:ascii="Arial" w:hAnsi="Arial" w:cs="Arial"/>
        </w:rPr>
        <w:t>years, while new houses have remained around the same size.</w:t>
      </w:r>
    </w:p>
    <w:p w14:paraId="0792DC59" w14:textId="77777777" w:rsidR="004D3CB0" w:rsidRPr="00F57FEA" w:rsidRDefault="004D3CB0" w:rsidP="00B140FD">
      <w:pPr>
        <w:rPr>
          <w:rFonts w:ascii="Arial" w:hAnsi="Arial" w:cs="Arial"/>
          <w:b/>
          <w:bCs/>
        </w:rPr>
      </w:pPr>
    </w:p>
    <w:p w14:paraId="281BF057" w14:textId="77777777" w:rsidR="00B140FD" w:rsidRPr="00F57FEA" w:rsidRDefault="00B140FD" w:rsidP="00B140FD">
      <w:pPr>
        <w:rPr>
          <w:rFonts w:ascii="Arial" w:hAnsi="Arial" w:cs="Arial"/>
        </w:rPr>
      </w:pPr>
      <w:r w:rsidRPr="00F57FEA">
        <w:rPr>
          <w:rFonts w:ascii="Arial" w:hAnsi="Arial" w:cs="Arial"/>
        </w:rPr>
        <w:t>We’ve used ONS data on property prices per square metre to help you find out what extra floor space could be worth in your area.</w:t>
      </w:r>
    </w:p>
    <w:p w14:paraId="52E00150" w14:textId="77777777" w:rsidR="00B140FD" w:rsidRPr="00F57FEA" w:rsidRDefault="00B140FD" w:rsidP="00B140FD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3003"/>
      </w:tblGrid>
      <w:tr w:rsidR="0069202D" w:rsidRPr="00F57FEA" w14:paraId="044E5559" w14:textId="77777777" w:rsidTr="008C3065">
        <w:trPr>
          <w:jc w:val="center"/>
        </w:trPr>
        <w:tc>
          <w:tcPr>
            <w:tcW w:w="4505" w:type="dxa"/>
            <w:shd w:val="clear" w:color="auto" w:fill="BFBFBF" w:themeFill="background1" w:themeFillShade="BF"/>
          </w:tcPr>
          <w:p w14:paraId="769F2D61" w14:textId="77777777" w:rsidR="0069202D" w:rsidRPr="005D5D12" w:rsidRDefault="00FD3FAC">
            <w:pPr>
              <w:rPr>
                <w:rFonts w:ascii="Arial" w:hAnsi="Arial" w:cs="Arial"/>
                <w:b/>
              </w:rPr>
            </w:pPr>
            <w:r w:rsidRPr="005D5D1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003" w:type="dxa"/>
            <w:shd w:val="clear" w:color="auto" w:fill="BFBFBF" w:themeFill="background1" w:themeFillShade="BF"/>
          </w:tcPr>
          <w:p w14:paraId="539CE1D7" w14:textId="77777777" w:rsidR="0069202D" w:rsidRDefault="00FD3FAC" w:rsidP="005D5D12">
            <w:pPr>
              <w:jc w:val="center"/>
              <w:rPr>
                <w:rFonts w:ascii="Arial" w:hAnsi="Arial" w:cs="Arial"/>
                <w:b/>
              </w:rPr>
            </w:pPr>
            <w:r w:rsidRPr="005D5D12">
              <w:rPr>
                <w:rFonts w:ascii="Arial" w:hAnsi="Arial" w:cs="Arial"/>
                <w:b/>
              </w:rPr>
              <w:t>Price per m</w:t>
            </w:r>
            <w:r w:rsidRPr="005D5D12">
              <w:rPr>
                <w:rFonts w:ascii="Arial" w:hAnsi="Arial" w:cs="Arial"/>
                <w:b/>
                <w:vertAlign w:val="superscript"/>
              </w:rPr>
              <w:t>2</w:t>
            </w:r>
            <w:r w:rsidRPr="005D5D12">
              <w:rPr>
                <w:rFonts w:ascii="Arial" w:hAnsi="Arial" w:cs="Arial"/>
                <w:b/>
              </w:rPr>
              <w:t xml:space="preserve"> of housing</w:t>
            </w:r>
          </w:p>
          <w:p w14:paraId="4490DBD5" w14:textId="77777777" w:rsidR="005D5D12" w:rsidRPr="005D5D12" w:rsidRDefault="005D5D12">
            <w:pPr>
              <w:rPr>
                <w:rFonts w:ascii="Arial" w:hAnsi="Arial" w:cs="Arial"/>
                <w:b/>
              </w:rPr>
            </w:pPr>
          </w:p>
        </w:tc>
      </w:tr>
      <w:tr w:rsidR="0069202D" w:rsidRPr="00F57FEA" w14:paraId="592153BC" w14:textId="77777777" w:rsidTr="005D5D12">
        <w:trPr>
          <w:jc w:val="center"/>
        </w:trPr>
        <w:tc>
          <w:tcPr>
            <w:tcW w:w="4505" w:type="dxa"/>
            <w:vAlign w:val="bottom"/>
          </w:tcPr>
          <w:p w14:paraId="4C2CD813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Middlesbrough</w:t>
            </w:r>
          </w:p>
        </w:tc>
        <w:tc>
          <w:tcPr>
            <w:tcW w:w="3003" w:type="dxa"/>
            <w:vAlign w:val="bottom"/>
          </w:tcPr>
          <w:p w14:paraId="6F6A3933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1063</w:t>
            </w:r>
          </w:p>
        </w:tc>
      </w:tr>
      <w:tr w:rsidR="0069202D" w:rsidRPr="00F57FEA" w14:paraId="417C6E12" w14:textId="77777777" w:rsidTr="005D5D12">
        <w:trPr>
          <w:jc w:val="center"/>
        </w:trPr>
        <w:tc>
          <w:tcPr>
            <w:tcW w:w="4505" w:type="dxa"/>
            <w:vAlign w:val="bottom"/>
          </w:tcPr>
          <w:p w14:paraId="6E963706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York</w:t>
            </w:r>
          </w:p>
        </w:tc>
        <w:tc>
          <w:tcPr>
            <w:tcW w:w="3003" w:type="dxa"/>
            <w:vAlign w:val="bottom"/>
          </w:tcPr>
          <w:p w14:paraId="13C9D852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2591</w:t>
            </w:r>
          </w:p>
        </w:tc>
      </w:tr>
      <w:tr w:rsidR="0069202D" w:rsidRPr="00F57FEA" w14:paraId="73A69276" w14:textId="77777777" w:rsidTr="005D5D12">
        <w:trPr>
          <w:jc w:val="center"/>
        </w:trPr>
        <w:tc>
          <w:tcPr>
            <w:tcW w:w="4505" w:type="dxa"/>
            <w:vAlign w:val="bottom"/>
          </w:tcPr>
          <w:p w14:paraId="5D978FCA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Nottingham</w:t>
            </w:r>
          </w:p>
        </w:tc>
        <w:tc>
          <w:tcPr>
            <w:tcW w:w="3003" w:type="dxa"/>
            <w:vAlign w:val="bottom"/>
          </w:tcPr>
          <w:p w14:paraId="1A741DC3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1391</w:t>
            </w:r>
          </w:p>
        </w:tc>
      </w:tr>
      <w:tr w:rsidR="0069202D" w:rsidRPr="00F57FEA" w14:paraId="24D08CEE" w14:textId="77777777" w:rsidTr="005D5D12">
        <w:trPr>
          <w:jc w:val="center"/>
        </w:trPr>
        <w:tc>
          <w:tcPr>
            <w:tcW w:w="4505" w:type="dxa"/>
            <w:vAlign w:val="bottom"/>
          </w:tcPr>
          <w:p w14:paraId="584DA3CA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Swindon</w:t>
            </w:r>
          </w:p>
        </w:tc>
        <w:tc>
          <w:tcPr>
            <w:tcW w:w="3003" w:type="dxa"/>
            <w:vAlign w:val="bottom"/>
          </w:tcPr>
          <w:p w14:paraId="35915E04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2224</w:t>
            </w:r>
          </w:p>
        </w:tc>
      </w:tr>
      <w:tr w:rsidR="0069202D" w:rsidRPr="00F57FEA" w14:paraId="42A4209C" w14:textId="77777777" w:rsidTr="005D5D12">
        <w:trPr>
          <w:jc w:val="center"/>
        </w:trPr>
        <w:tc>
          <w:tcPr>
            <w:tcW w:w="4505" w:type="dxa"/>
            <w:vAlign w:val="bottom"/>
          </w:tcPr>
          <w:p w14:paraId="6FBB5941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Southend-on-Sea</w:t>
            </w:r>
          </w:p>
        </w:tc>
        <w:tc>
          <w:tcPr>
            <w:tcW w:w="3003" w:type="dxa"/>
            <w:vAlign w:val="bottom"/>
          </w:tcPr>
          <w:p w14:paraId="015C07CE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2972</w:t>
            </w:r>
          </w:p>
        </w:tc>
      </w:tr>
      <w:tr w:rsidR="0069202D" w:rsidRPr="00F57FEA" w14:paraId="560DE34C" w14:textId="77777777" w:rsidTr="005D5D12">
        <w:trPr>
          <w:jc w:val="center"/>
        </w:trPr>
        <w:tc>
          <w:tcPr>
            <w:tcW w:w="4505" w:type="dxa"/>
            <w:vAlign w:val="bottom"/>
          </w:tcPr>
          <w:p w14:paraId="2D83D20C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Windsor and Maidenhead</w:t>
            </w:r>
          </w:p>
        </w:tc>
        <w:tc>
          <w:tcPr>
            <w:tcW w:w="3003" w:type="dxa"/>
            <w:vAlign w:val="bottom"/>
          </w:tcPr>
          <w:p w14:paraId="351DDF57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4951</w:t>
            </w:r>
          </w:p>
        </w:tc>
      </w:tr>
      <w:tr w:rsidR="0069202D" w:rsidRPr="00F57FEA" w14:paraId="1DECA363" w14:textId="77777777" w:rsidTr="005D5D12">
        <w:trPr>
          <w:jc w:val="center"/>
        </w:trPr>
        <w:tc>
          <w:tcPr>
            <w:tcW w:w="4505" w:type="dxa"/>
            <w:vAlign w:val="bottom"/>
          </w:tcPr>
          <w:p w14:paraId="6DD5BA84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Brighton and Hove</w:t>
            </w:r>
          </w:p>
        </w:tc>
        <w:tc>
          <w:tcPr>
            <w:tcW w:w="3003" w:type="dxa"/>
            <w:vAlign w:val="bottom"/>
          </w:tcPr>
          <w:p w14:paraId="3B6146F9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3964</w:t>
            </w:r>
          </w:p>
        </w:tc>
      </w:tr>
      <w:tr w:rsidR="0069202D" w:rsidRPr="00F57FEA" w14:paraId="4189F318" w14:textId="77777777" w:rsidTr="005D5D12">
        <w:trPr>
          <w:jc w:val="center"/>
        </w:trPr>
        <w:tc>
          <w:tcPr>
            <w:tcW w:w="4505" w:type="dxa"/>
            <w:vAlign w:val="bottom"/>
          </w:tcPr>
          <w:p w14:paraId="1A44DA25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Wycombe</w:t>
            </w:r>
          </w:p>
        </w:tc>
        <w:tc>
          <w:tcPr>
            <w:tcW w:w="3003" w:type="dxa"/>
            <w:vAlign w:val="bottom"/>
          </w:tcPr>
          <w:p w14:paraId="5E71745D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3999</w:t>
            </w:r>
          </w:p>
        </w:tc>
      </w:tr>
      <w:tr w:rsidR="0069202D" w:rsidRPr="00F57FEA" w14:paraId="2B26BE87" w14:textId="77777777" w:rsidTr="005D5D12">
        <w:trPr>
          <w:jc w:val="center"/>
        </w:trPr>
        <w:tc>
          <w:tcPr>
            <w:tcW w:w="4505" w:type="dxa"/>
            <w:vAlign w:val="bottom"/>
          </w:tcPr>
          <w:p w14:paraId="643FBB5B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Exeter</w:t>
            </w:r>
          </w:p>
        </w:tc>
        <w:tc>
          <w:tcPr>
            <w:tcW w:w="3003" w:type="dxa"/>
            <w:vAlign w:val="bottom"/>
          </w:tcPr>
          <w:p w14:paraId="7C037184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2496</w:t>
            </w:r>
          </w:p>
        </w:tc>
      </w:tr>
      <w:tr w:rsidR="0069202D" w:rsidRPr="00F57FEA" w14:paraId="1EAE720A" w14:textId="77777777" w:rsidTr="005D5D12">
        <w:trPr>
          <w:jc w:val="center"/>
        </w:trPr>
        <w:tc>
          <w:tcPr>
            <w:tcW w:w="4505" w:type="dxa"/>
            <w:vAlign w:val="bottom"/>
          </w:tcPr>
          <w:p w14:paraId="08681857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Kensington and Chelsea</w:t>
            </w:r>
          </w:p>
        </w:tc>
        <w:tc>
          <w:tcPr>
            <w:tcW w:w="3003" w:type="dxa"/>
            <w:vAlign w:val="bottom"/>
          </w:tcPr>
          <w:p w14:paraId="1C7A662C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17988</w:t>
            </w:r>
          </w:p>
        </w:tc>
      </w:tr>
      <w:tr w:rsidR="0069202D" w:rsidRPr="00F57FEA" w14:paraId="2381ED6A" w14:textId="77777777" w:rsidTr="005D5D12">
        <w:trPr>
          <w:jc w:val="center"/>
        </w:trPr>
        <w:tc>
          <w:tcPr>
            <w:tcW w:w="4505" w:type="dxa"/>
            <w:vAlign w:val="bottom"/>
          </w:tcPr>
          <w:p w14:paraId="2559AB1F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Westminster</w:t>
            </w:r>
          </w:p>
        </w:tc>
        <w:tc>
          <w:tcPr>
            <w:tcW w:w="3003" w:type="dxa"/>
            <w:vAlign w:val="bottom"/>
          </w:tcPr>
          <w:p w14:paraId="7C0694A8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13135</w:t>
            </w:r>
          </w:p>
        </w:tc>
      </w:tr>
      <w:tr w:rsidR="0069202D" w:rsidRPr="00F57FEA" w14:paraId="086DD76F" w14:textId="77777777" w:rsidTr="005D5D12">
        <w:trPr>
          <w:jc w:val="center"/>
        </w:trPr>
        <w:tc>
          <w:tcPr>
            <w:tcW w:w="4505" w:type="dxa"/>
            <w:vAlign w:val="bottom"/>
          </w:tcPr>
          <w:p w14:paraId="4A7DC310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Burnley</w:t>
            </w:r>
          </w:p>
        </w:tc>
        <w:tc>
          <w:tcPr>
            <w:tcW w:w="3003" w:type="dxa"/>
            <w:vAlign w:val="bottom"/>
          </w:tcPr>
          <w:p w14:paraId="55B1288F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829</w:t>
            </w:r>
          </w:p>
        </w:tc>
      </w:tr>
      <w:tr w:rsidR="0069202D" w:rsidRPr="00F57FEA" w14:paraId="568E0F4D" w14:textId="77777777" w:rsidTr="005D5D12">
        <w:trPr>
          <w:jc w:val="center"/>
        </w:trPr>
        <w:tc>
          <w:tcPr>
            <w:tcW w:w="4505" w:type="dxa"/>
            <w:vAlign w:val="bottom"/>
          </w:tcPr>
          <w:p w14:paraId="78EE7CDC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Manchester</w:t>
            </w:r>
          </w:p>
        </w:tc>
        <w:tc>
          <w:tcPr>
            <w:tcW w:w="3003" w:type="dxa"/>
            <w:vAlign w:val="bottom"/>
          </w:tcPr>
          <w:p w14:paraId="70390552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1630</w:t>
            </w:r>
          </w:p>
        </w:tc>
      </w:tr>
      <w:tr w:rsidR="0069202D" w:rsidRPr="00F57FEA" w14:paraId="1F29BCD3" w14:textId="77777777" w:rsidTr="005D5D12">
        <w:trPr>
          <w:jc w:val="center"/>
        </w:trPr>
        <w:tc>
          <w:tcPr>
            <w:tcW w:w="4505" w:type="dxa"/>
            <w:vAlign w:val="bottom"/>
          </w:tcPr>
          <w:p w14:paraId="22EDE832" w14:textId="77777777" w:rsidR="0069202D" w:rsidRPr="00F57FEA" w:rsidRDefault="0069202D" w:rsidP="0069202D">
            <w:pPr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Cambridge</w:t>
            </w:r>
          </w:p>
        </w:tc>
        <w:tc>
          <w:tcPr>
            <w:tcW w:w="3003" w:type="dxa"/>
            <w:vAlign w:val="bottom"/>
          </w:tcPr>
          <w:p w14:paraId="1BF19D3C" w14:textId="77777777" w:rsidR="0069202D" w:rsidRPr="00F57FEA" w:rsidRDefault="0069202D" w:rsidP="005D5D12">
            <w:pPr>
              <w:jc w:val="center"/>
              <w:rPr>
                <w:rFonts w:ascii="Arial" w:hAnsi="Arial" w:cs="Arial"/>
              </w:rPr>
            </w:pPr>
            <w:r w:rsidRPr="00F57FEA">
              <w:rPr>
                <w:rFonts w:ascii="Arial" w:hAnsi="Arial" w:cs="Arial"/>
                <w:color w:val="000000"/>
              </w:rPr>
              <w:t>4747</w:t>
            </w:r>
          </w:p>
        </w:tc>
      </w:tr>
    </w:tbl>
    <w:p w14:paraId="3ACB0105" w14:textId="6602D6B2" w:rsidR="00950423" w:rsidRDefault="00950423" w:rsidP="001129C2">
      <w:pPr>
        <w:rPr>
          <w:rFonts w:ascii="Arial" w:hAnsi="Arial" w:cs="Arial"/>
          <w:b/>
        </w:rPr>
      </w:pPr>
    </w:p>
    <w:p w14:paraId="15F36822" w14:textId="77777777" w:rsidR="00950423" w:rsidRDefault="009504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F2F5C2" w14:textId="5EBEF7BF" w:rsidR="004D3CB0" w:rsidRPr="00C163AC" w:rsidRDefault="007253DB" w:rsidP="001129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Article B: </w:t>
      </w:r>
      <w:r w:rsidR="004D3CB0" w:rsidRPr="00F57FEA">
        <w:rPr>
          <w:rFonts w:ascii="Arial" w:hAnsi="Arial" w:cs="Arial"/>
          <w:b/>
        </w:rPr>
        <w:t>Punctuality statistics for 25 UK Airports</w:t>
      </w:r>
    </w:p>
    <w:p w14:paraId="3BCADE41" w14:textId="77777777" w:rsidR="008066D3" w:rsidRPr="00F57FEA" w:rsidRDefault="008066D3" w:rsidP="001129C2">
      <w:pPr>
        <w:rPr>
          <w:rFonts w:ascii="Arial" w:hAnsi="Arial" w:cs="Arial"/>
        </w:rPr>
      </w:pPr>
    </w:p>
    <w:p w14:paraId="70BD4817" w14:textId="4D0DB7AD" w:rsidR="005D5D12" w:rsidRDefault="001129C2" w:rsidP="001129C2">
      <w:pPr>
        <w:rPr>
          <w:rFonts w:ascii="Arial" w:hAnsi="Arial" w:cs="Arial"/>
        </w:rPr>
      </w:pPr>
      <w:r w:rsidRPr="00F57FEA">
        <w:rPr>
          <w:rFonts w:ascii="Arial" w:hAnsi="Arial" w:cs="Arial"/>
        </w:rPr>
        <w:t>Punctuality statistics are calculated for 25 UK Airports. The planned time of operation is obtained from the airport scheduling committees</w:t>
      </w:r>
      <w:r w:rsidR="00A47FAC">
        <w:rPr>
          <w:rFonts w:ascii="Arial" w:hAnsi="Arial" w:cs="Arial"/>
        </w:rPr>
        <w:t xml:space="preserve">. This is </w:t>
      </w:r>
      <w:r w:rsidR="00DA1BCB">
        <w:rPr>
          <w:rFonts w:ascii="Arial" w:hAnsi="Arial" w:cs="Arial"/>
        </w:rPr>
        <w:t>merged</w:t>
      </w:r>
      <w:r w:rsidRPr="00F57FEA">
        <w:rPr>
          <w:rFonts w:ascii="Arial" w:hAnsi="Arial" w:cs="Arial"/>
        </w:rPr>
        <w:t xml:space="preserve"> with the actual time of operation on the air transport movement records collected in UK Airport Statistics. </w:t>
      </w:r>
    </w:p>
    <w:p w14:paraId="28838A73" w14:textId="77777777" w:rsidR="005D5D12" w:rsidRDefault="005D5D12" w:rsidP="001129C2">
      <w:pPr>
        <w:rPr>
          <w:rFonts w:ascii="Arial" w:hAnsi="Arial" w:cs="Arial"/>
        </w:rPr>
      </w:pPr>
    </w:p>
    <w:p w14:paraId="59632D6D" w14:textId="77777777" w:rsidR="001129C2" w:rsidRPr="00F57FEA" w:rsidRDefault="001129C2" w:rsidP="001129C2">
      <w:pPr>
        <w:rPr>
          <w:rFonts w:ascii="Arial" w:hAnsi="Arial" w:cs="Arial"/>
        </w:rPr>
      </w:pPr>
      <w:r w:rsidRPr="00F57FEA">
        <w:rPr>
          <w:rFonts w:ascii="Arial" w:hAnsi="Arial" w:cs="Arial"/>
        </w:rPr>
        <w:t>Information is published each month which shows the average delays on scheduled and charter services at each of the airports both in total and at an individual route/airline level.</w:t>
      </w:r>
    </w:p>
    <w:p w14:paraId="4CD28BA8" w14:textId="77777777" w:rsidR="005D5D12" w:rsidRDefault="005D5D12" w:rsidP="001129C2">
      <w:pPr>
        <w:rPr>
          <w:rFonts w:ascii="Arial" w:hAnsi="Arial" w:cs="Arial"/>
        </w:rPr>
      </w:pPr>
    </w:p>
    <w:p w14:paraId="44449CCC" w14:textId="77777777" w:rsidR="001129C2" w:rsidRPr="00F57FEA" w:rsidRDefault="001129C2" w:rsidP="001129C2">
      <w:pPr>
        <w:rPr>
          <w:rFonts w:ascii="Arial" w:hAnsi="Arial" w:cs="Arial"/>
        </w:rPr>
      </w:pPr>
      <w:r w:rsidRPr="00F57FEA">
        <w:rPr>
          <w:rFonts w:ascii="Arial" w:hAnsi="Arial" w:cs="Arial"/>
        </w:rPr>
        <w:t>Southend is being included for the first time from April 2016.</w:t>
      </w:r>
    </w:p>
    <w:p w14:paraId="1740261D" w14:textId="77777777" w:rsidR="005D5D12" w:rsidRDefault="005D5D12" w:rsidP="001129C2">
      <w:pPr>
        <w:rPr>
          <w:rFonts w:ascii="Arial" w:hAnsi="Arial" w:cs="Arial"/>
        </w:rPr>
      </w:pPr>
    </w:p>
    <w:p w14:paraId="1302DE82" w14:textId="77777777" w:rsidR="001129C2" w:rsidRDefault="001129C2" w:rsidP="001129C2">
      <w:pPr>
        <w:rPr>
          <w:rFonts w:ascii="Arial" w:hAnsi="Arial" w:cs="Arial"/>
        </w:rPr>
      </w:pPr>
      <w:r w:rsidRPr="00F57FEA">
        <w:rPr>
          <w:rFonts w:ascii="Arial" w:hAnsi="Arial" w:cs="Arial"/>
        </w:rPr>
        <w:t>It should be noted that the statistics in this notice cover only those flights which were operated; they do not cover those flights which were cancelled. Some airport or airline business models prioritise delaying flights rather than cancelling them outright.</w:t>
      </w:r>
    </w:p>
    <w:p w14:paraId="701EEF00" w14:textId="77777777" w:rsidR="005D5D12" w:rsidRPr="00F57FEA" w:rsidRDefault="005D5D12" w:rsidP="001129C2">
      <w:pPr>
        <w:rPr>
          <w:rFonts w:ascii="Arial" w:hAnsi="Arial" w:cs="Arial"/>
        </w:rPr>
      </w:pPr>
    </w:p>
    <w:p w14:paraId="6DC3C1AB" w14:textId="66DC6977" w:rsidR="001129C2" w:rsidRPr="00F57FEA" w:rsidRDefault="001129C2" w:rsidP="001129C2">
      <w:pPr>
        <w:rPr>
          <w:rFonts w:ascii="Arial" w:hAnsi="Arial" w:cs="Arial"/>
        </w:rPr>
      </w:pPr>
      <w:r w:rsidRPr="00F57FEA">
        <w:rPr>
          <w:rFonts w:ascii="Arial" w:hAnsi="Arial" w:cs="Arial"/>
        </w:rPr>
        <w:t>The information contained in these reports ha</w:t>
      </w:r>
      <w:r w:rsidR="006B441E">
        <w:rPr>
          <w:rFonts w:ascii="Arial" w:hAnsi="Arial" w:cs="Arial"/>
        </w:rPr>
        <w:t>s</w:t>
      </w:r>
      <w:r w:rsidRPr="00F57FEA">
        <w:rPr>
          <w:rFonts w:ascii="Arial" w:hAnsi="Arial" w:cs="Arial"/>
        </w:rPr>
        <w:t xml:space="preserve"> been compiled from various sources of data. CAA</w:t>
      </w:r>
      <w:r w:rsidR="00D05C17">
        <w:rPr>
          <w:rFonts w:ascii="Arial" w:hAnsi="Arial" w:cs="Arial"/>
        </w:rPr>
        <w:t xml:space="preserve"> (Civil Aviation Authority)</w:t>
      </w:r>
      <w:r w:rsidRPr="00F57FEA">
        <w:rPr>
          <w:rFonts w:ascii="Arial" w:hAnsi="Arial" w:cs="Arial"/>
        </w:rPr>
        <w:t xml:space="preserve"> validates this data, however, no warranty is given as to its accuracy, integrity or reliability. CAA cannot accept liability for any financial loss caused by a person’s reliance on any of these statistics. No statistical data provided by CAA may be sold on to a third party. CAA insists that they are referenced in any publication that makes reference to CAA Statistics.</w:t>
      </w:r>
    </w:p>
    <w:p w14:paraId="09E9A1E7" w14:textId="77777777" w:rsidR="005D5D12" w:rsidRDefault="005D5D12" w:rsidP="001129C2">
      <w:pPr>
        <w:rPr>
          <w:rFonts w:ascii="Arial" w:hAnsi="Arial" w:cs="Arial"/>
        </w:rPr>
      </w:pPr>
    </w:p>
    <w:p w14:paraId="4A3B85E6" w14:textId="77777777" w:rsidR="00B23C16" w:rsidRPr="00F57FEA" w:rsidRDefault="00B23C16" w:rsidP="00B23C16">
      <w:pPr>
        <w:rPr>
          <w:rFonts w:ascii="Arial" w:hAnsi="Arial" w:cs="Arial"/>
        </w:rPr>
      </w:pPr>
      <w:r w:rsidRPr="00F57FEA">
        <w:rPr>
          <w:rFonts w:ascii="Arial" w:hAnsi="Arial" w:cs="Arial"/>
        </w:rPr>
        <w:t xml:space="preserve">The data for 2017 together with some comparative data for 2016 is </w:t>
      </w:r>
      <w:r>
        <w:rPr>
          <w:rFonts w:ascii="Arial" w:hAnsi="Arial" w:cs="Arial"/>
        </w:rPr>
        <w:t>provided on the next page.</w:t>
      </w:r>
    </w:p>
    <w:p w14:paraId="688CAB9C" w14:textId="77777777" w:rsidR="00B23C16" w:rsidRDefault="00B23C16">
      <w:pPr>
        <w:rPr>
          <w:rFonts w:ascii="Arial" w:hAnsi="Arial" w:cs="Arial"/>
        </w:rPr>
      </w:pPr>
    </w:p>
    <w:p w14:paraId="3C418714" w14:textId="77777777" w:rsidR="00B23C16" w:rsidRDefault="00B23C16">
      <w:pPr>
        <w:rPr>
          <w:rFonts w:ascii="Arial" w:hAnsi="Arial" w:cs="Arial"/>
        </w:rPr>
      </w:pPr>
    </w:p>
    <w:p w14:paraId="38E7D678" w14:textId="77777777" w:rsidR="00B23C16" w:rsidRDefault="00B23C16">
      <w:pPr>
        <w:rPr>
          <w:rFonts w:ascii="Arial" w:hAnsi="Arial" w:cs="Arial"/>
        </w:rPr>
      </w:pPr>
    </w:p>
    <w:p w14:paraId="311B8905" w14:textId="77777777" w:rsidR="00B23C16" w:rsidRDefault="00B23C16">
      <w:pPr>
        <w:rPr>
          <w:rFonts w:ascii="Arial" w:hAnsi="Arial" w:cs="Arial"/>
        </w:rPr>
        <w:sectPr w:rsidR="00B23C16" w:rsidSect="00D05C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34" w:right="851" w:bottom="1134" w:left="851" w:header="720" w:footer="720" w:gutter="0"/>
          <w:cols w:space="720"/>
          <w:titlePg/>
          <w:docGrid w:linePitch="360"/>
        </w:sectPr>
      </w:pPr>
    </w:p>
    <w:p w14:paraId="08644CFA" w14:textId="77777777" w:rsidR="001129C2" w:rsidRPr="00F57FEA" w:rsidRDefault="001129C2">
      <w:pPr>
        <w:rPr>
          <w:rFonts w:ascii="Arial" w:hAnsi="Arial" w:cs="Arial"/>
        </w:rPr>
      </w:pPr>
    </w:p>
    <w:tbl>
      <w:tblPr>
        <w:tblW w:w="15104" w:type="dxa"/>
        <w:tblInd w:w="-567" w:type="dxa"/>
        <w:tblLook w:val="04A0" w:firstRow="1" w:lastRow="0" w:firstColumn="1" w:lastColumn="0" w:noHBand="0" w:noVBand="1"/>
      </w:tblPr>
      <w:tblGrid>
        <w:gridCol w:w="3234"/>
        <w:gridCol w:w="872"/>
        <w:gridCol w:w="1320"/>
        <w:gridCol w:w="1140"/>
        <w:gridCol w:w="1020"/>
        <w:gridCol w:w="1060"/>
        <w:gridCol w:w="1180"/>
        <w:gridCol w:w="1400"/>
        <w:gridCol w:w="983"/>
        <w:gridCol w:w="872"/>
        <w:gridCol w:w="1040"/>
        <w:gridCol w:w="983"/>
      </w:tblGrid>
      <w:tr w:rsidR="0034367F" w:rsidRPr="0034367F" w14:paraId="2914A2C6" w14:textId="77777777" w:rsidTr="008C3065">
        <w:trPr>
          <w:trHeight w:val="330"/>
        </w:trPr>
        <w:tc>
          <w:tcPr>
            <w:tcW w:w="32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E9C33A" w14:textId="77777777" w:rsidR="0034367F" w:rsidRPr="0034367F" w:rsidRDefault="0034367F" w:rsidP="0034367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8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F3489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434650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lang w:eastAsia="en-GB"/>
              </w:rPr>
              <w:t>2016</w:t>
            </w:r>
          </w:p>
        </w:tc>
      </w:tr>
      <w:tr w:rsidR="0034367F" w:rsidRPr="0034367F" w14:paraId="4FBE18F6" w14:textId="77777777" w:rsidTr="00B53EE2">
        <w:trPr>
          <w:trHeight w:val="105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7B5489E" w14:textId="77777777" w:rsidR="0034367F" w:rsidRPr="0034367F" w:rsidRDefault="0034367F" w:rsidP="0034367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Airport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0AFA234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Total Flights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EE5F57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On time (Less by 15 minutes late) (%)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FCC33CB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Late by 16 - 30 minutes (%)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7EBCC83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Late by 31 - 60 minutes (%)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C11884B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Late by 61- 180 minutes 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7A682C3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Late by 181 - 360 minutes (%)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9F31A54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Late by more than 360 minutes (%)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E45D7CB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Mean delay in minutes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87440F6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Total Flights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EED22BE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Late by 15 minutes or less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A5A92CB" w14:textId="77777777" w:rsidR="0034367F" w:rsidRPr="0034367F" w:rsidRDefault="0034367F" w:rsidP="0034367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Mean delay in minutes</w:t>
            </w:r>
          </w:p>
        </w:tc>
      </w:tr>
      <w:tr w:rsidR="0034367F" w:rsidRPr="0034367F" w14:paraId="261429FF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07D71" w14:textId="3A85A168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Heathrow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3D5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471041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95B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62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41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7D4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1C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F3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DA3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5C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470641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95F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4DB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13.52</w:t>
            </w:r>
          </w:p>
        </w:tc>
      </w:tr>
      <w:tr w:rsidR="0034367F" w:rsidRPr="0034367F" w14:paraId="4F46F2B1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E969" w14:textId="05FAA9A7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Gatwick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FD0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281710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C35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65.31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C64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A4A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837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570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B1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AB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FCA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275289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EA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61.31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27D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22.9</w:t>
            </w:r>
          </w:p>
        </w:tc>
      </w:tr>
      <w:tr w:rsidR="0034367F" w:rsidRPr="0034367F" w14:paraId="15FB113E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D941BF" w14:textId="78689A9D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Manchester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273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193512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038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69.57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776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C6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CD1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36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42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FEE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D0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182400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677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1C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14.97</w:t>
            </w:r>
          </w:p>
        </w:tc>
      </w:tr>
      <w:tr w:rsidR="0034367F" w:rsidRPr="0034367F" w14:paraId="1AC8BA57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D146B9" w14:textId="1A34C27F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Stansted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0D3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161270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5B6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69.18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FDA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B03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776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F46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1F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F09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DBA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152331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1F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7BA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14.47</w:t>
            </w:r>
          </w:p>
        </w:tc>
      </w:tr>
      <w:tr w:rsidR="0034367F" w:rsidRPr="0034367F" w14:paraId="2AB2A00A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14FD5" w14:textId="0B4895C3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Edinburgh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902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116771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84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10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B8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348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52D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E65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29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6A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110278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38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2D8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14.81</w:t>
            </w:r>
          </w:p>
        </w:tc>
      </w:tr>
      <w:tr w:rsidR="0034367F" w:rsidRPr="0034367F" w14:paraId="1AD56FF1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B2785A" w14:textId="620D67E1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Birmingham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A91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109065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D8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68.58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6FE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8AF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5A6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2B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97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A8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81A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102904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15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491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14.61</w:t>
            </w:r>
          </w:p>
        </w:tc>
      </w:tr>
      <w:tr w:rsidR="0034367F" w:rsidRPr="0034367F" w14:paraId="144EA423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424B4" w14:textId="0BAED0DE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Luton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D10D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104062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A6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98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BD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AD8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83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AF9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205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11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99953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1F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66.32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577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18.25</w:t>
            </w:r>
          </w:p>
        </w:tc>
      </w:tr>
      <w:tr w:rsidR="0034367F" w:rsidRPr="0034367F" w14:paraId="529EB627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FB8AC3" w14:textId="2FA8A457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Glasgow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2F95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51A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3F1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A4F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F17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CD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87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10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285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84735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56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75.21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DA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14.23</w:t>
            </w:r>
          </w:p>
        </w:tc>
      </w:tr>
      <w:tr w:rsidR="0034367F" w:rsidRPr="0034367F" w14:paraId="35D9A066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BED661" w14:textId="332A7B51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London City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0369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75797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812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7CD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0C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15D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F5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002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BA1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145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80446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123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96A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12.83</w:t>
            </w:r>
          </w:p>
        </w:tc>
      </w:tr>
      <w:tr w:rsidR="0034367F" w:rsidRPr="0034367F" w14:paraId="3E5E47D1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EB4750" w14:textId="3B20AFA2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Bristol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B53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63332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B4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68.81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CDF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B3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49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14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49E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079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839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FD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75.36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5D9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14.64</w:t>
            </w:r>
          </w:p>
        </w:tc>
      </w:tr>
      <w:tr w:rsidR="0034367F" w:rsidRPr="0034367F" w14:paraId="532F5007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5EE39" w14:textId="5B54FB89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Aberdeen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DD9F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48588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93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765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B8A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D1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FC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64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00B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42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018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8BC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13.75</w:t>
            </w:r>
          </w:p>
        </w:tc>
      </w:tr>
      <w:tr w:rsidR="0034367F" w:rsidRPr="0034367F" w14:paraId="5F5C9473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DEF7D" w14:textId="323A144B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Newcastle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6B2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43278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BE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C8E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10.18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5CA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643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F9D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53E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59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16F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40877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0F6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80.74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22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</w:t>
            </w:r>
          </w:p>
        </w:tc>
      </w:tr>
      <w:tr w:rsidR="0034367F" w:rsidRPr="0034367F" w14:paraId="2E91F7D1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7DCE9" w14:textId="5A4D8BC6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Belfast International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CE62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39972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34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74.73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45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2B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49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5E3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C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F05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A56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522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E6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16.78</w:t>
            </w:r>
          </w:p>
        </w:tc>
      </w:tr>
      <w:tr w:rsidR="0034367F" w:rsidRPr="0034367F" w14:paraId="4DAB83A9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CDF93" w14:textId="35F18F08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Southampton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B4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39262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B4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C9F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CD4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717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28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BED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91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B4B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37431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9CA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79.42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B3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12.89</w:t>
            </w:r>
          </w:p>
        </w:tc>
      </w:tr>
      <w:tr w:rsidR="0034367F" w:rsidRPr="0034367F" w14:paraId="53B29CEF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6CEF3" w14:textId="42C83833" w:rsidR="0034367F" w:rsidRPr="0034367F" w:rsidRDefault="00044E68" w:rsidP="001C491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Belfast </w:t>
            </w:r>
            <w:r w:rsidR="001C4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ity (George Best)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0F9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36532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125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DC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57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105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7E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64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8B6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0A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95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84.58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31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9.29</w:t>
            </w:r>
          </w:p>
        </w:tc>
      </w:tr>
      <w:tr w:rsidR="0034367F" w:rsidRPr="0034367F" w14:paraId="4B6D3909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3B6607" w14:textId="11A0E412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East </w:t>
            </w:r>
            <w:r w:rsidR="001C49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idlands International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CEEB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35208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E5E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F67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C2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C3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7E9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87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3C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35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34923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23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8D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12.94</w:t>
            </w:r>
          </w:p>
        </w:tc>
      </w:tr>
      <w:tr w:rsidR="0034367F" w:rsidRPr="0034367F" w14:paraId="3DD77890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31E6B0" w14:textId="5F427087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Liverpool (John Lennon)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AE4C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AE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B07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54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37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07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B4E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D5C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D7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37928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AF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062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14.1</w:t>
            </w:r>
          </w:p>
        </w:tc>
      </w:tr>
      <w:tr w:rsidR="0034367F" w:rsidRPr="0034367F" w14:paraId="360F0880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8F718" w14:textId="6211F09E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Leeds Bradford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11D6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87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D99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EC5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C31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2D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5B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7E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11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0C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68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11.3</w:t>
            </w:r>
          </w:p>
        </w:tc>
      </w:tr>
      <w:tr w:rsidR="0034367F" w:rsidRPr="0034367F" w14:paraId="66A15995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C5F714" w14:textId="210FA9E7" w:rsidR="0034367F" w:rsidRPr="0034367F" w:rsidRDefault="0034367F" w:rsidP="00044E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</w:t>
            </w:r>
            <w:r w:rsidR="00044E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ersey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FA3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65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73.48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178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DE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DF2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BEA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889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1CF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39F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23791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BE1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AB7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17.12</w:t>
            </w:r>
          </w:p>
        </w:tc>
      </w:tr>
      <w:tr w:rsidR="0034367F" w:rsidRPr="0034367F" w14:paraId="538045F5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F6A968" w14:textId="34B4CA2F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Cardiff Wales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36C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AB8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27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77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79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61B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F97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A06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15.14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1B7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15571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73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B8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14.11</w:t>
            </w:r>
          </w:p>
        </w:tc>
      </w:tr>
      <w:tr w:rsidR="0034367F" w:rsidRPr="0034367F" w14:paraId="0808BF05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08AF54" w14:textId="64318293" w:rsidR="0034367F" w:rsidRPr="0034367F" w:rsidRDefault="0034367F" w:rsidP="00044E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</w:t>
            </w:r>
            <w:r w:rsidR="00044E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xeter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5DD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13042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BF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490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9A3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589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20E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381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13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C90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DC2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80.45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A8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12.95</w:t>
            </w:r>
          </w:p>
        </w:tc>
      </w:tr>
      <w:tr w:rsidR="0034367F" w:rsidRPr="0034367F" w14:paraId="0A54FC8B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94CB5A" w14:textId="369AA4E3" w:rsidR="0034367F" w:rsidRPr="0034367F" w:rsidRDefault="0034367F" w:rsidP="00044E6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</w:t>
            </w:r>
            <w:r w:rsidR="00044E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outhend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1FCD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C8B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457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B0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42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2EE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1A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135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94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E09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79.95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8D0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14.61</w:t>
            </w:r>
          </w:p>
        </w:tc>
      </w:tr>
      <w:tr w:rsidR="0034367F" w:rsidRPr="0034367F" w14:paraId="14355B68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92068" w14:textId="49576E18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Doncaster Sheffield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33A9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9645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BA3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2920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733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7F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D8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58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9CB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A7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CA4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76.98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4B6D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13.78</w:t>
            </w:r>
          </w:p>
        </w:tc>
      </w:tr>
      <w:tr w:rsidR="0034367F" w:rsidRPr="0034367F" w14:paraId="17C9B50A" w14:textId="77777777" w:rsidTr="008C306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07135" w14:textId="4D2E14E8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Bournemouth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E295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504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78.96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86A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087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9D3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40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086C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7F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DA1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4232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AB1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77.84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E76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12.31</w:t>
            </w:r>
          </w:p>
        </w:tc>
      </w:tr>
      <w:tr w:rsidR="0034367F" w:rsidRPr="0034367F" w14:paraId="32009EB6" w14:textId="77777777" w:rsidTr="00D05C17">
        <w:trPr>
          <w:trHeight w:val="276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2F0E3" w14:textId="1FE337FE" w:rsidR="0034367F" w:rsidRPr="0034367F" w:rsidRDefault="00044E68" w:rsidP="0034367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Durham Tees Valley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0D68" w14:textId="77777777" w:rsidR="0034367F" w:rsidRPr="0034367F" w:rsidRDefault="0034367F" w:rsidP="0034367F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98F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72.46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676E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13.57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0C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25D2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23B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1C35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281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16.66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0E4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B28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81.34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D71" w14:textId="77777777" w:rsidR="0034367F" w:rsidRPr="0034367F" w:rsidRDefault="0034367F" w:rsidP="003436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3436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12.15</w:t>
            </w:r>
          </w:p>
        </w:tc>
      </w:tr>
    </w:tbl>
    <w:p w14:paraId="5CD56A9B" w14:textId="77777777" w:rsidR="0034367F" w:rsidRDefault="0034367F">
      <w:pPr>
        <w:rPr>
          <w:rFonts w:ascii="Arial" w:hAnsi="Arial" w:cs="Arial"/>
        </w:rPr>
        <w:sectPr w:rsidR="0034367F" w:rsidSect="0034367F">
          <w:headerReference w:type="first" r:id="rId17"/>
          <w:pgSz w:w="16840" w:h="11900" w:orient="landscape"/>
          <w:pgMar w:top="709" w:right="1134" w:bottom="851" w:left="1134" w:header="720" w:footer="720" w:gutter="0"/>
          <w:cols w:space="720"/>
          <w:titlePg/>
          <w:docGrid w:linePitch="360"/>
        </w:sectPr>
      </w:pPr>
    </w:p>
    <w:p w14:paraId="0267A8E2" w14:textId="262CE323" w:rsidR="00DB6A2A" w:rsidRPr="001F219F" w:rsidRDefault="00FC1D50" w:rsidP="001F219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Article C: </w:t>
      </w:r>
      <w:r w:rsidR="00DB6A2A" w:rsidRPr="00572550">
        <w:rPr>
          <w:rFonts w:ascii="Arial" w:eastAsia="Times New Roman" w:hAnsi="Arial" w:cs="Arial"/>
          <w:b/>
          <w:sz w:val="22"/>
          <w:szCs w:val="22"/>
        </w:rPr>
        <w:t>I</w:t>
      </w:r>
      <w:r w:rsidR="00DB6A2A" w:rsidRPr="00DB6A2A">
        <w:rPr>
          <w:rFonts w:ascii="Arial" w:eastAsia="Times New Roman" w:hAnsi="Arial" w:cs="Arial"/>
          <w:b/>
          <w:sz w:val="22"/>
          <w:szCs w:val="22"/>
        </w:rPr>
        <w:t>ncome Tax and National Insurance 201</w:t>
      </w:r>
      <w:r w:rsidR="00BE6419">
        <w:rPr>
          <w:rFonts w:ascii="Arial" w:eastAsia="Times New Roman" w:hAnsi="Arial" w:cs="Arial"/>
          <w:b/>
          <w:sz w:val="22"/>
          <w:szCs w:val="22"/>
        </w:rPr>
        <w:t>7</w:t>
      </w:r>
      <w:r w:rsidR="001C491C">
        <w:rPr>
          <w:rFonts w:ascii="Arial" w:eastAsia="Times New Roman" w:hAnsi="Arial" w:cs="Arial"/>
          <w:b/>
          <w:sz w:val="22"/>
          <w:szCs w:val="22"/>
        </w:rPr>
        <w:t>—</w:t>
      </w:r>
      <w:r w:rsidR="00DB6A2A" w:rsidRPr="00DB6A2A">
        <w:rPr>
          <w:rFonts w:ascii="Arial" w:eastAsia="Times New Roman" w:hAnsi="Arial" w:cs="Arial"/>
          <w:b/>
          <w:sz w:val="22"/>
          <w:szCs w:val="22"/>
        </w:rPr>
        <w:t>201</w:t>
      </w:r>
      <w:r w:rsidR="00BE6419">
        <w:rPr>
          <w:rFonts w:ascii="Arial" w:eastAsia="Times New Roman" w:hAnsi="Arial" w:cs="Arial"/>
          <w:b/>
          <w:sz w:val="22"/>
          <w:szCs w:val="22"/>
        </w:rPr>
        <w:t>8</w:t>
      </w:r>
      <w:r w:rsidR="00DB6A2A" w:rsidRPr="00DB6A2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5DC6A125" w14:textId="49DFAF70" w:rsidR="001F219F" w:rsidRDefault="00DB6A2A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Income tax rates and taxable bands 201</w:t>
      </w:r>
      <w:r w:rsidR="00BE6419">
        <w:rPr>
          <w:rFonts w:ascii="Arial" w:eastAsia="Times New Roman" w:hAnsi="Arial" w:cs="Arial"/>
          <w:sz w:val="22"/>
          <w:szCs w:val="22"/>
        </w:rPr>
        <w:t>7</w:t>
      </w:r>
      <w:r w:rsidR="001C491C">
        <w:rPr>
          <w:rFonts w:ascii="Arial" w:eastAsia="Times New Roman" w:hAnsi="Arial" w:cs="Arial"/>
          <w:sz w:val="22"/>
          <w:szCs w:val="22"/>
        </w:rPr>
        <w:t>—</w:t>
      </w:r>
      <w:r w:rsidRPr="00DB6A2A">
        <w:rPr>
          <w:rFonts w:ascii="Arial" w:eastAsia="Times New Roman" w:hAnsi="Arial" w:cs="Arial"/>
          <w:sz w:val="22"/>
          <w:szCs w:val="22"/>
        </w:rPr>
        <w:t xml:space="preserve"> 201</w:t>
      </w:r>
      <w:r w:rsidR="004316F3">
        <w:rPr>
          <w:rFonts w:ascii="Arial" w:eastAsia="Times New Roman" w:hAnsi="Arial" w:cs="Arial"/>
          <w:sz w:val="22"/>
          <w:szCs w:val="22"/>
        </w:rPr>
        <w:t>8</w:t>
      </w:r>
    </w:p>
    <w:p w14:paraId="2820E761" w14:textId="77777777" w:rsidR="00572550" w:rsidRDefault="00DB6A2A" w:rsidP="001F219F">
      <w:pPr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471"/>
      </w:tblGrid>
      <w:tr w:rsidR="00572550" w14:paraId="4FA8313A" w14:textId="77777777" w:rsidTr="00B53EE2">
        <w:trPr>
          <w:jc w:val="center"/>
        </w:trPr>
        <w:tc>
          <w:tcPr>
            <w:tcW w:w="3539" w:type="dxa"/>
            <w:shd w:val="clear" w:color="auto" w:fill="BFBFBF" w:themeFill="background1" w:themeFillShade="BF"/>
          </w:tcPr>
          <w:p w14:paraId="1159440A" w14:textId="77777777" w:rsidR="00572550" w:rsidRPr="005D5D12" w:rsidRDefault="009C4F3D" w:rsidP="00572550">
            <w:pPr>
              <w:spacing w:before="120" w:after="1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D5D12">
              <w:rPr>
                <w:rFonts w:ascii="Arial" w:eastAsia="Times New Roman" w:hAnsi="Arial" w:cs="Arial"/>
                <w:b/>
                <w:sz w:val="22"/>
                <w:szCs w:val="22"/>
              </w:rPr>
              <w:t>PAYE tax rates and thresholds</w:t>
            </w:r>
          </w:p>
        </w:tc>
        <w:tc>
          <w:tcPr>
            <w:tcW w:w="5471" w:type="dxa"/>
            <w:shd w:val="clear" w:color="auto" w:fill="BFBFBF" w:themeFill="background1" w:themeFillShade="BF"/>
          </w:tcPr>
          <w:p w14:paraId="2893F845" w14:textId="74C8B283" w:rsidR="00572550" w:rsidRPr="005D5D12" w:rsidRDefault="009C4F3D" w:rsidP="001C491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D5D12">
              <w:rPr>
                <w:rFonts w:ascii="Arial" w:eastAsia="Times New Roman" w:hAnsi="Arial" w:cs="Arial"/>
                <w:b/>
                <w:sz w:val="22"/>
                <w:szCs w:val="22"/>
              </w:rPr>
              <w:t>201</w:t>
            </w:r>
            <w:r w:rsidR="00BE6419" w:rsidRPr="005D5D12">
              <w:rPr>
                <w:rFonts w:ascii="Arial" w:eastAsia="Times New Roman" w:hAnsi="Arial" w:cs="Arial"/>
                <w:b/>
                <w:sz w:val="22"/>
                <w:szCs w:val="22"/>
              </w:rPr>
              <w:t>7</w:t>
            </w:r>
            <w:r w:rsidR="001C491C">
              <w:rPr>
                <w:rFonts w:ascii="Arial" w:eastAsia="Times New Roman" w:hAnsi="Arial" w:cs="Arial"/>
                <w:b/>
                <w:sz w:val="22"/>
                <w:szCs w:val="22"/>
              </w:rPr>
              <w:t>—</w:t>
            </w:r>
            <w:r w:rsidRPr="005D5D12">
              <w:rPr>
                <w:rFonts w:ascii="Arial" w:eastAsia="Times New Roman" w:hAnsi="Arial" w:cs="Arial"/>
                <w:b/>
                <w:sz w:val="22"/>
                <w:szCs w:val="22"/>
              </w:rPr>
              <w:t>201</w:t>
            </w:r>
            <w:r w:rsidR="004316F3">
              <w:rPr>
                <w:rFonts w:ascii="Arial" w:eastAsia="Times New Roman" w:hAnsi="Arial" w:cs="Arial"/>
                <w:b/>
                <w:sz w:val="22"/>
                <w:szCs w:val="22"/>
              </w:rPr>
              <w:t>8</w:t>
            </w:r>
          </w:p>
        </w:tc>
      </w:tr>
      <w:tr w:rsidR="00572550" w14:paraId="4C9C9585" w14:textId="77777777" w:rsidTr="005D5D12">
        <w:trPr>
          <w:jc w:val="center"/>
        </w:trPr>
        <w:tc>
          <w:tcPr>
            <w:tcW w:w="3539" w:type="dxa"/>
          </w:tcPr>
          <w:p w14:paraId="027566D3" w14:textId="77777777" w:rsidR="00572550" w:rsidRDefault="009C4F3D" w:rsidP="00572550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Personal allowance</w:t>
            </w:r>
          </w:p>
        </w:tc>
        <w:tc>
          <w:tcPr>
            <w:tcW w:w="5471" w:type="dxa"/>
          </w:tcPr>
          <w:p w14:paraId="6CF65D94" w14:textId="77777777" w:rsidR="00D00EEB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£22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week</w:t>
            </w:r>
          </w:p>
          <w:p w14:paraId="4270E80F" w14:textId="77777777" w:rsidR="00572550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£9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58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month</w:t>
            </w:r>
          </w:p>
          <w:p w14:paraId="00836A95" w14:textId="63B86074" w:rsidR="00D00EEB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£11</w:t>
            </w:r>
            <w:r w:rsidR="006B441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500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year</w:t>
            </w:r>
          </w:p>
        </w:tc>
      </w:tr>
      <w:tr w:rsidR="00D00EEB" w14:paraId="5D9BA014" w14:textId="77777777" w:rsidTr="005D5D12">
        <w:trPr>
          <w:jc w:val="center"/>
        </w:trPr>
        <w:tc>
          <w:tcPr>
            <w:tcW w:w="3539" w:type="dxa"/>
          </w:tcPr>
          <w:p w14:paraId="2E20DC6C" w14:textId="77777777" w:rsidR="00D00EEB" w:rsidRDefault="00D00EEB" w:rsidP="00572550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Basic rate</w:t>
            </w:r>
          </w:p>
        </w:tc>
        <w:tc>
          <w:tcPr>
            <w:tcW w:w="5471" w:type="dxa"/>
          </w:tcPr>
          <w:p w14:paraId="3DB4D6A7" w14:textId="77777777" w:rsidR="00D00EEB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20% on annual earnings above the PAYE threshold and up to £3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,500</w:t>
            </w:r>
          </w:p>
        </w:tc>
      </w:tr>
      <w:tr w:rsidR="00572550" w14:paraId="40757866" w14:textId="77777777" w:rsidTr="005D5D12">
        <w:trPr>
          <w:jc w:val="center"/>
        </w:trPr>
        <w:tc>
          <w:tcPr>
            <w:tcW w:w="3539" w:type="dxa"/>
          </w:tcPr>
          <w:p w14:paraId="3659102F" w14:textId="77777777" w:rsidR="00572550" w:rsidRDefault="00572550" w:rsidP="00572550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Higher</w:t>
            </w:r>
            <w:r w:rsidR="00D00EEB">
              <w:rPr>
                <w:rFonts w:ascii="Arial" w:eastAsia="Times New Roman" w:hAnsi="Arial" w:cs="Arial"/>
                <w:sz w:val="22"/>
                <w:szCs w:val="22"/>
              </w:rPr>
              <w:t xml:space="preserve"> rate</w:t>
            </w:r>
          </w:p>
        </w:tc>
        <w:tc>
          <w:tcPr>
            <w:tcW w:w="5471" w:type="dxa"/>
          </w:tcPr>
          <w:p w14:paraId="11CEAAA7" w14:textId="01280918" w:rsidR="00572550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40% on annual earnings from £3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 w:rsidR="006B441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501</w:t>
            </w:r>
            <w:r w:rsidR="00572550">
              <w:rPr>
                <w:rFonts w:ascii="Arial" w:eastAsia="Times New Roman" w:hAnsi="Arial" w:cs="Arial"/>
                <w:sz w:val="22"/>
                <w:szCs w:val="22"/>
              </w:rPr>
              <w:t>- £150</w:t>
            </w:r>
            <w:r w:rsidR="006B441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572550">
              <w:rPr>
                <w:rFonts w:ascii="Arial" w:eastAsia="Times New Roman" w:hAnsi="Arial" w:cs="Arial"/>
                <w:sz w:val="22"/>
                <w:szCs w:val="22"/>
              </w:rPr>
              <w:t>000</w:t>
            </w:r>
          </w:p>
        </w:tc>
      </w:tr>
      <w:tr w:rsidR="00572550" w14:paraId="4B0CE642" w14:textId="77777777" w:rsidTr="005D5D12">
        <w:trPr>
          <w:jc w:val="center"/>
        </w:trPr>
        <w:tc>
          <w:tcPr>
            <w:tcW w:w="3539" w:type="dxa"/>
          </w:tcPr>
          <w:p w14:paraId="7598AF94" w14:textId="77777777" w:rsidR="00572550" w:rsidRDefault="00572550" w:rsidP="00572550">
            <w:pPr>
              <w:spacing w:before="120" w:after="12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Additional</w:t>
            </w:r>
          </w:p>
        </w:tc>
        <w:tc>
          <w:tcPr>
            <w:tcW w:w="5471" w:type="dxa"/>
          </w:tcPr>
          <w:p w14:paraId="7D94A863" w14:textId="77F19756" w:rsidR="00572550" w:rsidRDefault="00D00EEB" w:rsidP="005D5D12">
            <w:pPr>
              <w:spacing w:before="120" w:after="12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45% on annual earnings o</w:t>
            </w:r>
            <w:r w:rsidR="00572550">
              <w:rPr>
                <w:rFonts w:ascii="Arial" w:eastAsia="Times New Roman" w:hAnsi="Arial" w:cs="Arial"/>
                <w:sz w:val="22"/>
                <w:szCs w:val="22"/>
              </w:rPr>
              <w:t>ver £150</w:t>
            </w:r>
            <w:r w:rsidR="006B441E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572550">
              <w:rPr>
                <w:rFonts w:ascii="Arial" w:eastAsia="Times New Roman" w:hAnsi="Arial" w:cs="Arial"/>
                <w:sz w:val="22"/>
                <w:szCs w:val="22"/>
              </w:rPr>
              <w:t>000</w:t>
            </w:r>
          </w:p>
        </w:tc>
      </w:tr>
    </w:tbl>
    <w:p w14:paraId="48EA5B67" w14:textId="77777777" w:rsidR="00572550" w:rsidRDefault="00572550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</w:p>
    <w:p w14:paraId="61C147B2" w14:textId="6735B6D1" w:rsidR="005D5D12" w:rsidRDefault="00A47FAC" w:rsidP="005D5D1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How t</w:t>
      </w:r>
      <w:r w:rsidR="00DB6A2A" w:rsidRPr="00DB6A2A">
        <w:rPr>
          <w:rFonts w:ascii="Arial" w:eastAsia="Times New Roman" w:hAnsi="Arial" w:cs="Arial"/>
          <w:b/>
          <w:sz w:val="22"/>
          <w:szCs w:val="22"/>
        </w:rPr>
        <w:t>o calculate your income ta</w:t>
      </w:r>
      <w:r w:rsidR="00BE6419">
        <w:rPr>
          <w:rFonts w:ascii="Arial" w:eastAsia="Times New Roman" w:hAnsi="Arial" w:cs="Arial"/>
          <w:b/>
          <w:sz w:val="22"/>
          <w:szCs w:val="22"/>
        </w:rPr>
        <w:t>x if your annual income is £100</w:t>
      </w:r>
      <w:r w:rsidR="006B441E">
        <w:rPr>
          <w:rFonts w:ascii="Arial" w:eastAsia="Times New Roman" w:hAnsi="Arial" w:cs="Arial"/>
          <w:b/>
          <w:sz w:val="22"/>
          <w:szCs w:val="22"/>
        </w:rPr>
        <w:t>,</w:t>
      </w:r>
      <w:r w:rsidR="005D5D12">
        <w:rPr>
          <w:rFonts w:ascii="Arial" w:eastAsia="Times New Roman" w:hAnsi="Arial" w:cs="Arial"/>
          <w:b/>
          <w:sz w:val="22"/>
          <w:szCs w:val="22"/>
        </w:rPr>
        <w:t>000 or less</w:t>
      </w:r>
      <w:r>
        <w:rPr>
          <w:rFonts w:ascii="Arial" w:eastAsia="Times New Roman" w:hAnsi="Arial" w:cs="Arial"/>
          <w:b/>
          <w:sz w:val="22"/>
          <w:szCs w:val="22"/>
        </w:rPr>
        <w:t>:</w:t>
      </w:r>
    </w:p>
    <w:p w14:paraId="4EE86A3B" w14:textId="77777777" w:rsidR="005D5D12" w:rsidRPr="00122929" w:rsidRDefault="005D5D12" w:rsidP="005D5D12">
      <w:pPr>
        <w:rPr>
          <w:rFonts w:ascii="Arial" w:eastAsia="Times New Roman" w:hAnsi="Arial" w:cs="Arial"/>
          <w:b/>
          <w:sz w:val="22"/>
          <w:szCs w:val="22"/>
        </w:rPr>
      </w:pPr>
    </w:p>
    <w:p w14:paraId="581D3A85" w14:textId="77777777" w:rsidR="00240159" w:rsidRDefault="00240159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5F7CEA">
        <w:rPr>
          <w:rFonts w:ascii="Arial" w:hAnsi="Arial" w:cs="Arial"/>
          <w:sz w:val="22"/>
          <w:szCs w:val="22"/>
        </w:rPr>
        <w:t>Find your taxable income by subtracting your personal tax allowance and your personal pension contributions from your annual gross income</w:t>
      </w:r>
      <w:r w:rsidRPr="00DB6A2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96C4814" w14:textId="2DD82557" w:rsidR="00122929" w:rsidRDefault="00DB6A2A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You pay income tax at 20% on the first £3</w:t>
      </w:r>
      <w:r w:rsidR="00BE6419">
        <w:rPr>
          <w:rFonts w:ascii="Arial" w:eastAsia="Times New Roman" w:hAnsi="Arial" w:cs="Arial"/>
          <w:sz w:val="22"/>
          <w:szCs w:val="22"/>
        </w:rPr>
        <w:t>3</w:t>
      </w:r>
      <w:r w:rsidR="006B441E">
        <w:rPr>
          <w:rFonts w:ascii="Arial" w:eastAsia="Times New Roman" w:hAnsi="Arial" w:cs="Arial"/>
          <w:sz w:val="22"/>
          <w:szCs w:val="22"/>
        </w:rPr>
        <w:t>,</w:t>
      </w:r>
      <w:r w:rsidR="00D00EEB">
        <w:rPr>
          <w:rFonts w:ascii="Arial" w:eastAsia="Times New Roman" w:hAnsi="Arial" w:cs="Arial"/>
          <w:sz w:val="22"/>
          <w:szCs w:val="22"/>
        </w:rPr>
        <w:t>5</w:t>
      </w:r>
      <w:r w:rsidRPr="00DB6A2A">
        <w:rPr>
          <w:rFonts w:ascii="Arial" w:eastAsia="Times New Roman" w:hAnsi="Arial" w:cs="Arial"/>
          <w:sz w:val="22"/>
          <w:szCs w:val="22"/>
        </w:rPr>
        <w:t xml:space="preserve">00 of your taxable income. </w:t>
      </w:r>
    </w:p>
    <w:p w14:paraId="331DC5E7" w14:textId="22CF5D76" w:rsidR="00240159" w:rsidRDefault="00DB6A2A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You pay income tax at 40% on your taxable income over £3</w:t>
      </w:r>
      <w:r w:rsidR="00BE6419">
        <w:rPr>
          <w:rFonts w:ascii="Arial" w:eastAsia="Times New Roman" w:hAnsi="Arial" w:cs="Arial"/>
          <w:sz w:val="22"/>
          <w:szCs w:val="22"/>
        </w:rPr>
        <w:t>3</w:t>
      </w:r>
      <w:r w:rsidR="006B441E">
        <w:rPr>
          <w:rFonts w:ascii="Arial" w:eastAsia="Times New Roman" w:hAnsi="Arial" w:cs="Arial"/>
          <w:sz w:val="22"/>
          <w:szCs w:val="22"/>
        </w:rPr>
        <w:t>,</w:t>
      </w:r>
      <w:r w:rsidR="00D00EEB">
        <w:rPr>
          <w:rFonts w:ascii="Arial" w:eastAsia="Times New Roman" w:hAnsi="Arial" w:cs="Arial"/>
          <w:sz w:val="22"/>
          <w:szCs w:val="22"/>
        </w:rPr>
        <w:t>5</w:t>
      </w:r>
      <w:r w:rsidRPr="00DB6A2A">
        <w:rPr>
          <w:rFonts w:ascii="Arial" w:eastAsia="Times New Roman" w:hAnsi="Arial" w:cs="Arial"/>
          <w:sz w:val="22"/>
          <w:szCs w:val="22"/>
        </w:rPr>
        <w:t>00</w:t>
      </w:r>
    </w:p>
    <w:p w14:paraId="0841329D" w14:textId="483F7419" w:rsidR="00240159" w:rsidRDefault="00240159" w:rsidP="00572550">
      <w:pPr>
        <w:spacing w:before="120" w:after="120"/>
        <w:rPr>
          <w:rFonts w:ascii="Arial" w:eastAsia="Times New Roman" w:hAnsi="Arial" w:cs="Arial"/>
          <w:sz w:val="22"/>
          <w:szCs w:val="22"/>
        </w:rPr>
      </w:pPr>
    </w:p>
    <w:p w14:paraId="02C237FE" w14:textId="77777777" w:rsidR="00240159" w:rsidRDefault="00240159" w:rsidP="00240159">
      <w:pPr>
        <w:rPr>
          <w:rFonts w:ascii="Arial" w:hAnsi="Arial" w:cs="Arial"/>
          <w:b/>
          <w:bCs/>
          <w:sz w:val="16"/>
          <w:szCs w:val="16"/>
        </w:rPr>
      </w:pPr>
      <w:r w:rsidRPr="005F7CEA">
        <w:rPr>
          <w:rFonts w:ascii="Arial" w:hAnsi="Arial" w:cs="Arial"/>
          <w:b/>
          <w:bCs/>
          <w:sz w:val="22"/>
          <w:szCs w:val="22"/>
        </w:rPr>
        <w:t>Personal pension contributions.</w:t>
      </w:r>
    </w:p>
    <w:p w14:paraId="6FEAB455" w14:textId="77777777" w:rsidR="00240159" w:rsidRPr="005F7CEA" w:rsidRDefault="00240159" w:rsidP="00240159">
      <w:pPr>
        <w:rPr>
          <w:rFonts w:ascii="Arial" w:hAnsi="Arial" w:cs="Arial"/>
          <w:b/>
          <w:bCs/>
          <w:sz w:val="16"/>
          <w:szCs w:val="16"/>
        </w:rPr>
      </w:pPr>
    </w:p>
    <w:p w14:paraId="4555AC5D" w14:textId="5C0BE176" w:rsidR="00240159" w:rsidRPr="00240159" w:rsidRDefault="00240159" w:rsidP="00240159">
      <w:pPr>
        <w:rPr>
          <w:rFonts w:ascii="Arial" w:hAnsi="Arial" w:cs="Arial"/>
          <w:sz w:val="22"/>
          <w:szCs w:val="22"/>
        </w:rPr>
      </w:pPr>
      <w:r w:rsidRPr="005F7CEA">
        <w:rPr>
          <w:rFonts w:ascii="Arial" w:hAnsi="Arial" w:cs="Arial"/>
          <w:sz w:val="22"/>
          <w:szCs w:val="22"/>
        </w:rPr>
        <w:t xml:space="preserve">In most cases, your </w:t>
      </w:r>
      <w:r w:rsidRPr="00BA4C42">
        <w:rPr>
          <w:rFonts w:ascii="Arial" w:hAnsi="Arial" w:cs="Arial"/>
          <w:bCs/>
          <w:sz w:val="22"/>
          <w:szCs w:val="22"/>
        </w:rPr>
        <w:t>pension contributions</w:t>
      </w:r>
      <w:r w:rsidRPr="005F7CEA">
        <w:rPr>
          <w:rFonts w:ascii="Arial" w:hAnsi="Arial" w:cs="Arial"/>
          <w:sz w:val="22"/>
          <w:szCs w:val="22"/>
        </w:rPr>
        <w:t xml:space="preserve"> are deducted from your salary </w:t>
      </w:r>
      <w:r w:rsidRPr="00BA4C42">
        <w:rPr>
          <w:rFonts w:ascii="Arial" w:hAnsi="Arial" w:cs="Arial"/>
          <w:b/>
          <w:sz w:val="22"/>
          <w:szCs w:val="22"/>
        </w:rPr>
        <w:t>before</w:t>
      </w:r>
      <w:r w:rsidRPr="005F7CEA">
        <w:rPr>
          <w:rFonts w:ascii="Arial" w:hAnsi="Arial" w:cs="Arial"/>
          <w:sz w:val="22"/>
          <w:szCs w:val="22"/>
        </w:rPr>
        <w:t xml:space="preserve"> income </w:t>
      </w:r>
      <w:r w:rsidRPr="00BA4C42">
        <w:rPr>
          <w:rFonts w:ascii="Arial" w:hAnsi="Arial" w:cs="Arial"/>
          <w:bCs/>
          <w:sz w:val="22"/>
          <w:szCs w:val="22"/>
        </w:rPr>
        <w:t>tax</w:t>
      </w:r>
      <w:r w:rsidRPr="005F7CEA">
        <w:rPr>
          <w:rFonts w:ascii="Arial" w:hAnsi="Arial" w:cs="Arial"/>
          <w:sz w:val="22"/>
          <w:szCs w:val="22"/>
        </w:rPr>
        <w:t xml:space="preserve"> is paid on them and so are effectively “tax free”.</w:t>
      </w:r>
    </w:p>
    <w:p w14:paraId="18BF5FC9" w14:textId="77777777" w:rsidR="00B063E3" w:rsidRDefault="00B063E3"/>
    <w:p w14:paraId="00CA648F" w14:textId="774C53AE" w:rsidR="00DB6A2A" w:rsidRDefault="00DB6A2A" w:rsidP="00DB6A2A">
      <w:pPr>
        <w:rPr>
          <w:rFonts w:ascii="Arial" w:eastAsia="Times New Roman" w:hAnsi="Arial" w:cs="Arial"/>
          <w:b/>
          <w:sz w:val="22"/>
          <w:szCs w:val="22"/>
        </w:rPr>
      </w:pPr>
      <w:r w:rsidRPr="00DB6A2A">
        <w:rPr>
          <w:rFonts w:ascii="Arial" w:eastAsia="Times New Roman" w:hAnsi="Arial" w:cs="Arial"/>
          <w:b/>
          <w:sz w:val="22"/>
          <w:szCs w:val="22"/>
        </w:rPr>
        <w:t xml:space="preserve">National Insurance (NI) </w:t>
      </w:r>
      <w:r w:rsidR="00D00EEB" w:rsidRPr="00D00EEB">
        <w:rPr>
          <w:rFonts w:ascii="Arial" w:eastAsia="Times New Roman" w:hAnsi="Arial" w:cs="Arial"/>
          <w:b/>
          <w:sz w:val="22"/>
          <w:szCs w:val="22"/>
        </w:rPr>
        <w:t>201</w:t>
      </w:r>
      <w:r w:rsidR="00BE6419">
        <w:rPr>
          <w:rFonts w:ascii="Arial" w:eastAsia="Times New Roman" w:hAnsi="Arial" w:cs="Arial"/>
          <w:b/>
          <w:sz w:val="22"/>
          <w:szCs w:val="22"/>
        </w:rPr>
        <w:t>7</w:t>
      </w:r>
      <w:r w:rsidR="001C491C">
        <w:rPr>
          <w:rFonts w:ascii="Arial" w:eastAsia="Times New Roman" w:hAnsi="Arial" w:cs="Arial"/>
          <w:b/>
          <w:sz w:val="22"/>
          <w:szCs w:val="22"/>
        </w:rPr>
        <w:t>—</w:t>
      </w:r>
      <w:r w:rsidR="00D00EEB" w:rsidRPr="00D00EEB">
        <w:rPr>
          <w:rFonts w:ascii="Arial" w:eastAsia="Times New Roman" w:hAnsi="Arial" w:cs="Arial"/>
          <w:b/>
          <w:sz w:val="22"/>
          <w:szCs w:val="22"/>
        </w:rPr>
        <w:t xml:space="preserve"> 201</w:t>
      </w:r>
      <w:r w:rsidR="00BE6419">
        <w:rPr>
          <w:rFonts w:ascii="Arial" w:eastAsia="Times New Roman" w:hAnsi="Arial" w:cs="Arial"/>
          <w:b/>
          <w:sz w:val="22"/>
          <w:szCs w:val="22"/>
        </w:rPr>
        <w:t>8</w:t>
      </w:r>
      <w:r w:rsidRPr="00DB6A2A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F8080D0" w14:textId="77777777" w:rsidR="005D5D12" w:rsidRPr="00D00EEB" w:rsidRDefault="005D5D12" w:rsidP="00DB6A2A">
      <w:pPr>
        <w:rPr>
          <w:rFonts w:ascii="Arial" w:eastAsia="Times New Roman" w:hAnsi="Arial" w:cs="Arial"/>
          <w:b/>
          <w:sz w:val="22"/>
          <w:szCs w:val="22"/>
        </w:rPr>
      </w:pPr>
    </w:p>
    <w:p w14:paraId="2FDA949D" w14:textId="77777777" w:rsidR="009C4F3D" w:rsidRPr="00122929" w:rsidRDefault="00D00EEB" w:rsidP="00DB6A2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You only make National Insurance deductions on earnings above the Lower Earning Limit (LEL).</w:t>
      </w:r>
    </w:p>
    <w:p w14:paraId="6F84235F" w14:textId="77777777" w:rsidR="00D00EEB" w:rsidRDefault="00D00EEB" w:rsidP="00DB6A2A">
      <w:pPr>
        <w:rPr>
          <w:rFonts w:ascii="Arial" w:eastAsia="Times New Roman" w:hAnsi="Arial" w:cs="Arial"/>
          <w:sz w:val="22"/>
          <w:szCs w:val="22"/>
        </w:rPr>
      </w:pPr>
    </w:p>
    <w:p w14:paraId="3B4DF9A2" w14:textId="77777777" w:rsidR="00D00EEB" w:rsidRPr="005D5D12" w:rsidRDefault="00D00EEB" w:rsidP="00DB6A2A">
      <w:pPr>
        <w:rPr>
          <w:rFonts w:ascii="Arial" w:eastAsia="Times New Roman" w:hAnsi="Arial" w:cs="Arial"/>
          <w:b/>
          <w:sz w:val="22"/>
          <w:szCs w:val="22"/>
        </w:rPr>
      </w:pPr>
      <w:r w:rsidRPr="005D5D12">
        <w:rPr>
          <w:rFonts w:ascii="Arial" w:eastAsia="Times New Roman" w:hAnsi="Arial" w:cs="Arial"/>
          <w:b/>
          <w:sz w:val="22"/>
          <w:szCs w:val="22"/>
        </w:rPr>
        <w:t>Class 1 National Insurance thresholds</w:t>
      </w:r>
    </w:p>
    <w:p w14:paraId="396E9B16" w14:textId="77777777" w:rsidR="005D5D12" w:rsidRDefault="005D5D12" w:rsidP="00DB6A2A">
      <w:pPr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835"/>
      </w:tblGrid>
      <w:tr w:rsidR="00D00EEB" w14:paraId="4ABB5735" w14:textId="77777777" w:rsidTr="00B53EE2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63406FA9" w14:textId="77777777" w:rsidR="00D00EEB" w:rsidRPr="001D6D61" w:rsidRDefault="00D00EEB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LEL</w:t>
            </w:r>
          </w:p>
        </w:tc>
        <w:tc>
          <w:tcPr>
            <w:tcW w:w="2835" w:type="dxa"/>
          </w:tcPr>
          <w:p w14:paraId="3A0889FA" w14:textId="77777777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£11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week</w:t>
            </w:r>
          </w:p>
          <w:p w14:paraId="74A1FEA7" w14:textId="77777777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490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month</w:t>
            </w:r>
          </w:p>
          <w:p w14:paraId="05B34DC6" w14:textId="1DE64709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AC37B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876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year</w:t>
            </w:r>
          </w:p>
        </w:tc>
      </w:tr>
      <w:tr w:rsidR="007B482A" w14:paraId="1A04FEC9" w14:textId="77777777" w:rsidTr="00B53EE2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100D6187" w14:textId="77777777" w:rsidR="007B482A" w:rsidRPr="001D6D61" w:rsidRDefault="007B482A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Primary Threshold (PT)</w:t>
            </w:r>
          </w:p>
        </w:tc>
        <w:tc>
          <w:tcPr>
            <w:tcW w:w="2835" w:type="dxa"/>
          </w:tcPr>
          <w:p w14:paraId="6C632047" w14:textId="77777777" w:rsidR="007B482A" w:rsidRDefault="007B482A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£1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57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week</w:t>
            </w:r>
          </w:p>
          <w:p w14:paraId="31DA3263" w14:textId="77777777" w:rsidR="007B482A" w:rsidRDefault="00BE6419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£680</w:t>
            </w:r>
            <w:r w:rsidR="007B482A">
              <w:rPr>
                <w:rFonts w:ascii="Arial" w:eastAsia="Times New Roman" w:hAnsi="Arial" w:cs="Arial"/>
                <w:sz w:val="22"/>
                <w:szCs w:val="22"/>
              </w:rPr>
              <w:t xml:space="preserve"> per month</w:t>
            </w:r>
          </w:p>
          <w:p w14:paraId="1ACBDDB4" w14:textId="263FE3F6" w:rsidR="007B482A" w:rsidRDefault="007B482A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£8</w:t>
            </w:r>
            <w:r w:rsidR="00AC37BA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16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4 per year</w:t>
            </w:r>
          </w:p>
        </w:tc>
      </w:tr>
      <w:tr w:rsidR="00D00EEB" w14:paraId="3AF29544" w14:textId="77777777" w:rsidTr="00B53EE2">
        <w:trPr>
          <w:jc w:val="center"/>
        </w:trPr>
        <w:tc>
          <w:tcPr>
            <w:tcW w:w="3397" w:type="dxa"/>
            <w:shd w:val="clear" w:color="auto" w:fill="BFBFBF" w:themeFill="background1" w:themeFillShade="BF"/>
          </w:tcPr>
          <w:p w14:paraId="4CAF27EE" w14:textId="77777777" w:rsidR="00D00EEB" w:rsidRPr="001D6D61" w:rsidRDefault="00D00EEB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Upper Earnings Limit (UEL)</w:t>
            </w:r>
          </w:p>
        </w:tc>
        <w:tc>
          <w:tcPr>
            <w:tcW w:w="2835" w:type="dxa"/>
          </w:tcPr>
          <w:p w14:paraId="769BB72A" w14:textId="77777777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£8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66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week</w:t>
            </w:r>
          </w:p>
          <w:p w14:paraId="4ECEC111" w14:textId="52501B34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£3</w:t>
            </w:r>
            <w:r w:rsidR="008A2821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750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per month</w:t>
            </w:r>
          </w:p>
          <w:p w14:paraId="6CD177EC" w14:textId="1ADC69D9" w:rsidR="00D00EEB" w:rsidRDefault="00D00EEB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£4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2601C8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BE6419">
              <w:rPr>
                <w:rFonts w:ascii="Arial" w:eastAsia="Times New Roman" w:hAnsi="Arial" w:cs="Arial"/>
                <w:sz w:val="22"/>
                <w:szCs w:val="22"/>
              </w:rPr>
              <w:t>00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 per year</w:t>
            </w:r>
          </w:p>
        </w:tc>
      </w:tr>
    </w:tbl>
    <w:p w14:paraId="068018B7" w14:textId="77777777" w:rsidR="00D96655" w:rsidRDefault="00D96655" w:rsidP="00DB6A2A">
      <w:pPr>
        <w:tabs>
          <w:tab w:val="left" w:pos="4618"/>
        </w:tabs>
        <w:ind w:left="113"/>
        <w:rPr>
          <w:rFonts w:ascii="Arial" w:eastAsia="Times New Roman" w:hAnsi="Arial" w:cs="Arial"/>
          <w:b/>
          <w:sz w:val="22"/>
          <w:szCs w:val="22"/>
        </w:rPr>
      </w:pPr>
    </w:p>
    <w:p w14:paraId="0289D998" w14:textId="77777777" w:rsidR="00D96655" w:rsidRDefault="00D9665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68D34C68" w14:textId="7B40DDCC" w:rsidR="00D00EEB" w:rsidRPr="005D5D12" w:rsidRDefault="00D00EEB" w:rsidP="00DB6A2A">
      <w:pPr>
        <w:tabs>
          <w:tab w:val="left" w:pos="4618"/>
        </w:tabs>
        <w:ind w:left="113"/>
        <w:rPr>
          <w:rFonts w:ascii="Arial" w:eastAsia="Times New Roman" w:hAnsi="Arial" w:cs="Arial"/>
          <w:b/>
          <w:sz w:val="22"/>
          <w:szCs w:val="22"/>
        </w:rPr>
      </w:pPr>
      <w:r w:rsidRPr="005D5D12">
        <w:rPr>
          <w:rFonts w:ascii="Arial" w:eastAsia="Times New Roman" w:hAnsi="Arial" w:cs="Arial"/>
          <w:b/>
          <w:sz w:val="22"/>
          <w:szCs w:val="22"/>
        </w:rPr>
        <w:lastRenderedPageBreak/>
        <w:t>Class 1 National Insurance rates</w:t>
      </w:r>
    </w:p>
    <w:p w14:paraId="0D273223" w14:textId="77777777" w:rsidR="005D5D12" w:rsidRDefault="005D5D12" w:rsidP="00DB6A2A">
      <w:pPr>
        <w:tabs>
          <w:tab w:val="left" w:pos="4618"/>
        </w:tabs>
        <w:ind w:left="113"/>
        <w:rPr>
          <w:rFonts w:ascii="Arial" w:eastAsia="Times New Roman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418"/>
      </w:tblGrid>
      <w:tr w:rsidR="00D00EEB" w14:paraId="404AB5EE" w14:textId="77777777" w:rsidTr="00B53EE2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33BB21F6" w14:textId="77777777" w:rsidR="00D00EEB" w:rsidRPr="001D6D61" w:rsidRDefault="007B482A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Earnings at or above LEL up to and including PT</w:t>
            </w:r>
          </w:p>
        </w:tc>
        <w:tc>
          <w:tcPr>
            <w:tcW w:w="1418" w:type="dxa"/>
          </w:tcPr>
          <w:p w14:paraId="2D12AB84" w14:textId="77777777" w:rsidR="00D00EEB" w:rsidRDefault="007B482A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0%</w:t>
            </w:r>
          </w:p>
        </w:tc>
      </w:tr>
      <w:tr w:rsidR="00D00EEB" w14:paraId="0B592A2B" w14:textId="77777777" w:rsidTr="00B53EE2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0D32302C" w14:textId="77777777" w:rsidR="00D00EEB" w:rsidRPr="001D6D61" w:rsidRDefault="007B482A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Earnings above PT and up to and including UEL</w:t>
            </w:r>
          </w:p>
        </w:tc>
        <w:tc>
          <w:tcPr>
            <w:tcW w:w="1418" w:type="dxa"/>
          </w:tcPr>
          <w:p w14:paraId="596ED11D" w14:textId="77777777" w:rsidR="00D00EEB" w:rsidRDefault="007B482A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12%</w:t>
            </w:r>
          </w:p>
        </w:tc>
      </w:tr>
      <w:tr w:rsidR="007B482A" w14:paraId="667AF5BF" w14:textId="77777777" w:rsidTr="00B53EE2">
        <w:trPr>
          <w:jc w:val="center"/>
        </w:trPr>
        <w:tc>
          <w:tcPr>
            <w:tcW w:w="5240" w:type="dxa"/>
            <w:shd w:val="clear" w:color="auto" w:fill="BFBFBF" w:themeFill="background1" w:themeFillShade="BF"/>
          </w:tcPr>
          <w:p w14:paraId="76B364EC" w14:textId="77777777" w:rsidR="007B482A" w:rsidRPr="001D6D61" w:rsidRDefault="007B482A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Balance of earnings above UEL</w:t>
            </w:r>
          </w:p>
        </w:tc>
        <w:tc>
          <w:tcPr>
            <w:tcW w:w="1418" w:type="dxa"/>
          </w:tcPr>
          <w:p w14:paraId="5B339F81" w14:textId="77777777" w:rsidR="007B482A" w:rsidRDefault="007B482A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2%</w:t>
            </w:r>
          </w:p>
        </w:tc>
      </w:tr>
    </w:tbl>
    <w:p w14:paraId="16329115" w14:textId="77777777" w:rsidR="00D00EEB" w:rsidRDefault="00D00EEB" w:rsidP="00DB6A2A">
      <w:pPr>
        <w:rPr>
          <w:rFonts w:ascii="Arial" w:eastAsia="Times New Roman" w:hAnsi="Arial" w:cs="Arial"/>
          <w:sz w:val="22"/>
          <w:szCs w:val="22"/>
        </w:rPr>
      </w:pPr>
    </w:p>
    <w:p w14:paraId="3CDD7F11" w14:textId="7D6D40B5" w:rsidR="005D5D12" w:rsidRDefault="005D5D12" w:rsidP="007B482A">
      <w:pPr>
        <w:spacing w:before="120" w:after="120"/>
        <w:rPr>
          <w:rFonts w:ascii="Arial" w:eastAsia="Times New Roman" w:hAnsi="Arial" w:cs="Arial"/>
          <w:sz w:val="22"/>
          <w:szCs w:val="22"/>
        </w:rPr>
      </w:pPr>
    </w:p>
    <w:p w14:paraId="18607C94" w14:textId="77777777" w:rsidR="007B482A" w:rsidRPr="005D5D12" w:rsidRDefault="007B482A" w:rsidP="007B482A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 w:rsidRPr="005D5D12">
        <w:rPr>
          <w:rFonts w:ascii="Arial" w:eastAsia="Times New Roman" w:hAnsi="Arial" w:cs="Arial"/>
          <w:b/>
          <w:sz w:val="22"/>
          <w:szCs w:val="22"/>
        </w:rPr>
        <w:t>Examples</w:t>
      </w:r>
    </w:p>
    <w:p w14:paraId="48980598" w14:textId="77777777" w:rsidR="007B482A" w:rsidRDefault="00DB6A2A" w:rsidP="007B48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A person who had a weekly income of £</w:t>
      </w:r>
      <w:r w:rsidR="007B482A">
        <w:rPr>
          <w:rFonts w:ascii="Arial" w:eastAsia="Times New Roman" w:hAnsi="Arial" w:cs="Arial"/>
          <w:sz w:val="22"/>
          <w:szCs w:val="22"/>
        </w:rPr>
        <w:t>375</w:t>
      </w:r>
      <w:r w:rsidRPr="00DB6A2A">
        <w:rPr>
          <w:rFonts w:ascii="Arial" w:eastAsia="Times New Roman" w:hAnsi="Arial" w:cs="Arial"/>
          <w:sz w:val="22"/>
          <w:szCs w:val="22"/>
        </w:rPr>
        <w:t xml:space="preserve"> pa</w:t>
      </w:r>
      <w:r w:rsidR="007B482A">
        <w:rPr>
          <w:rFonts w:ascii="Arial" w:eastAsia="Times New Roman" w:hAnsi="Arial" w:cs="Arial"/>
          <w:sz w:val="22"/>
          <w:szCs w:val="22"/>
        </w:rPr>
        <w:t>ys 12% on the amount above £1</w:t>
      </w:r>
      <w:r w:rsidR="00BE6419">
        <w:rPr>
          <w:rFonts w:ascii="Arial" w:eastAsia="Times New Roman" w:hAnsi="Arial" w:cs="Arial"/>
          <w:sz w:val="22"/>
          <w:szCs w:val="22"/>
        </w:rPr>
        <w:t>57</w:t>
      </w:r>
      <w:r w:rsidR="007B482A">
        <w:rPr>
          <w:rFonts w:ascii="Arial" w:eastAsia="Times New Roman" w:hAnsi="Arial" w:cs="Arial"/>
          <w:sz w:val="22"/>
          <w:szCs w:val="22"/>
        </w:rPr>
        <w:t>.</w:t>
      </w:r>
    </w:p>
    <w:p w14:paraId="0B1B6B2B" w14:textId="693860FB" w:rsidR="007B482A" w:rsidRDefault="00DB6A2A" w:rsidP="007B48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 xml:space="preserve">A person who had a </w:t>
      </w:r>
      <w:r w:rsidR="007B482A">
        <w:rPr>
          <w:rFonts w:ascii="Arial" w:eastAsia="Times New Roman" w:hAnsi="Arial" w:cs="Arial"/>
          <w:sz w:val="22"/>
          <w:szCs w:val="22"/>
        </w:rPr>
        <w:t xml:space="preserve">monthly </w:t>
      </w:r>
      <w:r w:rsidRPr="00DB6A2A">
        <w:rPr>
          <w:rFonts w:ascii="Arial" w:eastAsia="Times New Roman" w:hAnsi="Arial" w:cs="Arial"/>
          <w:sz w:val="22"/>
          <w:szCs w:val="22"/>
        </w:rPr>
        <w:t>income of £</w:t>
      </w:r>
      <w:r w:rsidR="007B482A">
        <w:rPr>
          <w:rFonts w:ascii="Arial" w:eastAsia="Times New Roman" w:hAnsi="Arial" w:cs="Arial"/>
          <w:sz w:val="22"/>
          <w:szCs w:val="22"/>
        </w:rPr>
        <w:t>4</w:t>
      </w:r>
      <w:r w:rsidR="006B441E">
        <w:rPr>
          <w:rFonts w:ascii="Arial" w:eastAsia="Times New Roman" w:hAnsi="Arial" w:cs="Arial"/>
          <w:sz w:val="22"/>
          <w:szCs w:val="22"/>
        </w:rPr>
        <w:t>,</w:t>
      </w:r>
      <w:r w:rsidR="007B482A">
        <w:rPr>
          <w:rFonts w:ascii="Arial" w:eastAsia="Times New Roman" w:hAnsi="Arial" w:cs="Arial"/>
          <w:sz w:val="22"/>
          <w:szCs w:val="22"/>
        </w:rPr>
        <w:t>250</w:t>
      </w:r>
      <w:r w:rsidRPr="00DB6A2A">
        <w:rPr>
          <w:rFonts w:ascii="Arial" w:eastAsia="Times New Roman" w:hAnsi="Arial" w:cs="Arial"/>
          <w:sz w:val="22"/>
          <w:szCs w:val="22"/>
        </w:rPr>
        <w:t xml:space="preserve"> pa</w:t>
      </w:r>
      <w:r w:rsidR="007B482A">
        <w:rPr>
          <w:rFonts w:ascii="Arial" w:eastAsia="Times New Roman" w:hAnsi="Arial" w:cs="Arial"/>
          <w:sz w:val="22"/>
          <w:szCs w:val="22"/>
        </w:rPr>
        <w:t>ys</w:t>
      </w:r>
      <w:r w:rsidRPr="00DB6A2A">
        <w:rPr>
          <w:rFonts w:ascii="Arial" w:eastAsia="Times New Roman" w:hAnsi="Arial" w:cs="Arial"/>
          <w:sz w:val="22"/>
          <w:szCs w:val="22"/>
        </w:rPr>
        <w:t xml:space="preserve"> 12% on the amount between £</w:t>
      </w:r>
      <w:r w:rsidR="00BE6419">
        <w:rPr>
          <w:rFonts w:ascii="Arial" w:eastAsia="Times New Roman" w:hAnsi="Arial" w:cs="Arial"/>
          <w:sz w:val="22"/>
          <w:szCs w:val="22"/>
        </w:rPr>
        <w:t>680</w:t>
      </w:r>
      <w:r w:rsidRPr="00DB6A2A">
        <w:rPr>
          <w:rFonts w:ascii="Arial" w:eastAsia="Times New Roman" w:hAnsi="Arial" w:cs="Arial"/>
          <w:sz w:val="22"/>
          <w:szCs w:val="22"/>
        </w:rPr>
        <w:t xml:space="preserve"> and £</w:t>
      </w:r>
      <w:r w:rsidR="007B482A">
        <w:rPr>
          <w:rFonts w:ascii="Arial" w:eastAsia="Times New Roman" w:hAnsi="Arial" w:cs="Arial"/>
          <w:sz w:val="22"/>
          <w:szCs w:val="22"/>
        </w:rPr>
        <w:t>3</w:t>
      </w:r>
      <w:r w:rsidR="006B441E">
        <w:rPr>
          <w:rFonts w:ascii="Arial" w:eastAsia="Times New Roman" w:hAnsi="Arial" w:cs="Arial"/>
          <w:sz w:val="22"/>
          <w:szCs w:val="22"/>
        </w:rPr>
        <w:t>,</w:t>
      </w:r>
      <w:r w:rsidR="00BE6419">
        <w:rPr>
          <w:rFonts w:ascii="Arial" w:eastAsia="Times New Roman" w:hAnsi="Arial" w:cs="Arial"/>
          <w:sz w:val="22"/>
          <w:szCs w:val="22"/>
        </w:rPr>
        <w:t>750</w:t>
      </w:r>
      <w:r w:rsidRPr="00DB6A2A">
        <w:rPr>
          <w:rFonts w:ascii="Arial" w:eastAsia="Times New Roman" w:hAnsi="Arial" w:cs="Arial"/>
          <w:sz w:val="22"/>
          <w:szCs w:val="22"/>
        </w:rPr>
        <w:t xml:space="preserve"> plus 2% of the amount above £</w:t>
      </w:r>
      <w:r w:rsidR="007B482A">
        <w:rPr>
          <w:rFonts w:ascii="Arial" w:eastAsia="Times New Roman" w:hAnsi="Arial" w:cs="Arial"/>
          <w:sz w:val="22"/>
          <w:szCs w:val="22"/>
        </w:rPr>
        <w:t>3</w:t>
      </w:r>
      <w:r w:rsidR="006B441E">
        <w:rPr>
          <w:rFonts w:ascii="Arial" w:eastAsia="Times New Roman" w:hAnsi="Arial" w:cs="Arial"/>
          <w:sz w:val="22"/>
          <w:szCs w:val="22"/>
        </w:rPr>
        <w:t>,</w:t>
      </w:r>
      <w:r w:rsidR="00BE6419">
        <w:rPr>
          <w:rFonts w:ascii="Arial" w:eastAsia="Times New Roman" w:hAnsi="Arial" w:cs="Arial"/>
          <w:sz w:val="22"/>
          <w:szCs w:val="22"/>
        </w:rPr>
        <w:t>750</w:t>
      </w:r>
      <w:r w:rsidR="007B482A">
        <w:rPr>
          <w:rFonts w:ascii="Arial" w:eastAsia="Times New Roman" w:hAnsi="Arial" w:cs="Arial"/>
          <w:sz w:val="22"/>
          <w:szCs w:val="22"/>
        </w:rPr>
        <w:t>.</w:t>
      </w:r>
    </w:p>
    <w:p w14:paraId="35EB0705" w14:textId="77777777" w:rsidR="007B482A" w:rsidRPr="005D5D12" w:rsidRDefault="007B482A" w:rsidP="007B482A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 w:rsidRPr="005D5D12">
        <w:rPr>
          <w:rFonts w:ascii="Arial" w:eastAsia="Times New Roman" w:hAnsi="Arial" w:cs="Arial"/>
          <w:b/>
          <w:sz w:val="22"/>
          <w:szCs w:val="22"/>
        </w:rPr>
        <w:t>Gross pay</w:t>
      </w:r>
    </w:p>
    <w:p w14:paraId="14791FB7" w14:textId="77777777" w:rsidR="007B482A" w:rsidRDefault="00DB6A2A" w:rsidP="007B48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 xml:space="preserve">Your gross pay is your wage or salary, before any deductions are made. </w:t>
      </w:r>
    </w:p>
    <w:p w14:paraId="05C25B3E" w14:textId="77777777" w:rsidR="007B482A" w:rsidRPr="005D5D12" w:rsidRDefault="00DB6A2A" w:rsidP="007B482A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 w:rsidRPr="005D5D12">
        <w:rPr>
          <w:rFonts w:ascii="Arial" w:eastAsia="Times New Roman" w:hAnsi="Arial" w:cs="Arial"/>
          <w:b/>
          <w:sz w:val="22"/>
          <w:szCs w:val="22"/>
        </w:rPr>
        <w:t xml:space="preserve">Net pay </w:t>
      </w:r>
    </w:p>
    <w:p w14:paraId="0C331000" w14:textId="77777777" w:rsidR="00DB6A2A" w:rsidRPr="005D5D12" w:rsidRDefault="00DB6A2A" w:rsidP="005D5D12">
      <w:pPr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Your net pay (or take-home pay) is the amount of money you receive after income tax, National Insurance and other deductions have been taken off your gross pay</w:t>
      </w:r>
      <w:r w:rsidR="006B2FB7">
        <w:rPr>
          <w:rFonts w:ascii="Arial" w:eastAsia="Times New Roman" w:hAnsi="Arial" w:cs="Arial"/>
          <w:sz w:val="22"/>
          <w:szCs w:val="22"/>
        </w:rPr>
        <w:t>.</w:t>
      </w:r>
    </w:p>
    <w:p w14:paraId="1DF98580" w14:textId="77777777" w:rsidR="005D5D12" w:rsidRDefault="005D5D12" w:rsidP="005D5D12">
      <w:pPr>
        <w:rPr>
          <w:rFonts w:ascii="Arial" w:eastAsia="Times New Roman" w:hAnsi="Arial" w:cs="Arial"/>
          <w:b/>
          <w:sz w:val="22"/>
          <w:szCs w:val="22"/>
        </w:rPr>
      </w:pPr>
    </w:p>
    <w:p w14:paraId="08834D81" w14:textId="097F7996" w:rsidR="00DB6A2A" w:rsidRDefault="00DB6A2A" w:rsidP="005D5D12">
      <w:pPr>
        <w:rPr>
          <w:rFonts w:ascii="Arial" w:eastAsia="Times New Roman" w:hAnsi="Arial" w:cs="Arial"/>
          <w:b/>
          <w:sz w:val="22"/>
          <w:szCs w:val="22"/>
        </w:rPr>
      </w:pPr>
      <w:r w:rsidRPr="00DB6A2A">
        <w:rPr>
          <w:rFonts w:ascii="Arial" w:eastAsia="Times New Roman" w:hAnsi="Arial" w:cs="Arial"/>
          <w:b/>
          <w:sz w:val="22"/>
          <w:szCs w:val="22"/>
        </w:rPr>
        <w:t xml:space="preserve">National Minimum Wage </w:t>
      </w:r>
      <w:r w:rsidR="00BE6419">
        <w:rPr>
          <w:rFonts w:ascii="Arial" w:eastAsia="Times New Roman" w:hAnsi="Arial" w:cs="Arial"/>
          <w:b/>
          <w:sz w:val="22"/>
          <w:szCs w:val="22"/>
        </w:rPr>
        <w:t xml:space="preserve">(from </w:t>
      </w:r>
      <w:r w:rsidR="009D7D84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BE6419">
        <w:rPr>
          <w:rFonts w:ascii="Arial" w:eastAsia="Times New Roman" w:hAnsi="Arial" w:cs="Arial"/>
          <w:b/>
          <w:sz w:val="22"/>
          <w:szCs w:val="22"/>
        </w:rPr>
        <w:t>April  2018)</w:t>
      </w:r>
    </w:p>
    <w:p w14:paraId="304104B6" w14:textId="77777777" w:rsidR="005D5D12" w:rsidRPr="007B482A" w:rsidRDefault="005D5D12" w:rsidP="005D5D12">
      <w:pPr>
        <w:rPr>
          <w:rFonts w:ascii="Arial" w:eastAsia="Times New Roman" w:hAnsi="Arial" w:cs="Arial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</w:tblGrid>
      <w:tr w:rsidR="00794670" w14:paraId="539D536C" w14:textId="77777777" w:rsidTr="00B53EE2">
        <w:trPr>
          <w:jc w:val="center"/>
        </w:trPr>
        <w:tc>
          <w:tcPr>
            <w:tcW w:w="3003" w:type="dxa"/>
            <w:shd w:val="clear" w:color="auto" w:fill="BFBFBF" w:themeFill="background1" w:themeFillShade="BF"/>
          </w:tcPr>
          <w:p w14:paraId="495E9275" w14:textId="77777777" w:rsidR="00794670" w:rsidRPr="001D6D61" w:rsidRDefault="00794670" w:rsidP="00794670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National Living Wage (25+)</w:t>
            </w:r>
          </w:p>
        </w:tc>
        <w:tc>
          <w:tcPr>
            <w:tcW w:w="3003" w:type="dxa"/>
          </w:tcPr>
          <w:p w14:paraId="4C257243" w14:textId="77777777" w:rsidR="00794670" w:rsidRDefault="00794670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£7.83 per hour</w:t>
            </w:r>
          </w:p>
        </w:tc>
      </w:tr>
      <w:tr w:rsidR="00794670" w14:paraId="5C1BA0B1" w14:textId="77777777" w:rsidTr="00B53EE2">
        <w:trPr>
          <w:jc w:val="center"/>
        </w:trPr>
        <w:tc>
          <w:tcPr>
            <w:tcW w:w="3003" w:type="dxa"/>
            <w:shd w:val="clear" w:color="auto" w:fill="BFBFBF" w:themeFill="background1" w:themeFillShade="BF"/>
          </w:tcPr>
          <w:p w14:paraId="55964354" w14:textId="34FB0C4F" w:rsidR="00794670" w:rsidRPr="001D6D61" w:rsidRDefault="00794670" w:rsidP="009D7D84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NMW (21</w:t>
            </w:r>
            <w:r w:rsidR="009D7D84">
              <w:rPr>
                <w:rFonts w:ascii="Arial" w:eastAsia="Times New Roman" w:hAnsi="Arial" w:cs="Arial"/>
                <w:b/>
                <w:sz w:val="22"/>
                <w:szCs w:val="22"/>
              </w:rPr>
              <w:t>—</w:t>
            </w: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24)</w:t>
            </w:r>
          </w:p>
        </w:tc>
        <w:tc>
          <w:tcPr>
            <w:tcW w:w="3003" w:type="dxa"/>
          </w:tcPr>
          <w:p w14:paraId="00A1D957" w14:textId="77777777" w:rsidR="00794670" w:rsidRDefault="00794670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£7.38 per hour</w:t>
            </w:r>
          </w:p>
        </w:tc>
      </w:tr>
      <w:tr w:rsidR="00794670" w14:paraId="14FF61C4" w14:textId="77777777" w:rsidTr="00B53EE2">
        <w:trPr>
          <w:jc w:val="center"/>
        </w:trPr>
        <w:tc>
          <w:tcPr>
            <w:tcW w:w="3003" w:type="dxa"/>
            <w:shd w:val="clear" w:color="auto" w:fill="BFBFBF" w:themeFill="background1" w:themeFillShade="BF"/>
          </w:tcPr>
          <w:p w14:paraId="2AF08816" w14:textId="5F759AE8" w:rsidR="00794670" w:rsidRPr="001D6D61" w:rsidRDefault="00794670" w:rsidP="009D7D84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NMW (18</w:t>
            </w:r>
            <w:r w:rsidR="009D7D84">
              <w:rPr>
                <w:rFonts w:ascii="Arial" w:eastAsia="Times New Roman" w:hAnsi="Arial" w:cs="Arial"/>
                <w:b/>
                <w:sz w:val="22"/>
                <w:szCs w:val="22"/>
              </w:rPr>
              <w:t>—</w:t>
            </w: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20)</w:t>
            </w:r>
          </w:p>
        </w:tc>
        <w:tc>
          <w:tcPr>
            <w:tcW w:w="3003" w:type="dxa"/>
          </w:tcPr>
          <w:p w14:paraId="68A17481" w14:textId="77777777" w:rsidR="00794670" w:rsidRDefault="00794670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£5.90 per hour</w:t>
            </w:r>
          </w:p>
        </w:tc>
      </w:tr>
      <w:tr w:rsidR="00794670" w14:paraId="690D71DF" w14:textId="77777777" w:rsidTr="00B53EE2">
        <w:trPr>
          <w:jc w:val="center"/>
        </w:trPr>
        <w:tc>
          <w:tcPr>
            <w:tcW w:w="3003" w:type="dxa"/>
            <w:shd w:val="clear" w:color="auto" w:fill="BFBFBF" w:themeFill="background1" w:themeFillShade="BF"/>
          </w:tcPr>
          <w:p w14:paraId="24565B12" w14:textId="3A566C55" w:rsidR="00794670" w:rsidRPr="001D6D61" w:rsidRDefault="00794670" w:rsidP="009D7D84">
            <w:pPr>
              <w:spacing w:before="6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NMW (16</w:t>
            </w:r>
            <w:r w:rsidR="009D7D84">
              <w:rPr>
                <w:rFonts w:ascii="Arial" w:eastAsia="Times New Roman" w:hAnsi="Arial" w:cs="Arial"/>
                <w:b/>
                <w:sz w:val="22"/>
                <w:szCs w:val="22"/>
              </w:rPr>
              <w:t>—</w:t>
            </w:r>
            <w:r w:rsidRPr="001D6D61">
              <w:rPr>
                <w:rFonts w:ascii="Arial" w:eastAsia="Times New Roman" w:hAnsi="Arial" w:cs="Arial"/>
                <w:b/>
                <w:sz w:val="22"/>
                <w:szCs w:val="22"/>
              </w:rPr>
              <w:t>17)</w:t>
            </w:r>
          </w:p>
        </w:tc>
        <w:tc>
          <w:tcPr>
            <w:tcW w:w="3003" w:type="dxa"/>
          </w:tcPr>
          <w:p w14:paraId="1FF0843A" w14:textId="77777777" w:rsidR="00794670" w:rsidRDefault="00794670" w:rsidP="00794670">
            <w:pPr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£4.20 per hour</w:t>
            </w:r>
          </w:p>
        </w:tc>
      </w:tr>
    </w:tbl>
    <w:p w14:paraId="43D658D2" w14:textId="77777777" w:rsidR="00DB6A2A" w:rsidRPr="00122929" w:rsidRDefault="00DB6A2A">
      <w:pPr>
        <w:rPr>
          <w:rFonts w:ascii="Arial" w:hAnsi="Arial" w:cs="Arial"/>
          <w:sz w:val="22"/>
          <w:szCs w:val="22"/>
        </w:rPr>
      </w:pPr>
    </w:p>
    <w:p w14:paraId="111A3DD8" w14:textId="3377E715" w:rsidR="00DB6A2A" w:rsidRPr="00122929" w:rsidRDefault="00DB6A2A" w:rsidP="00DB6A2A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 w:rsidRPr="00DB6A2A">
        <w:rPr>
          <w:rFonts w:ascii="Arial" w:eastAsia="Times New Roman" w:hAnsi="Arial" w:cs="Arial"/>
          <w:b/>
          <w:sz w:val="22"/>
          <w:szCs w:val="22"/>
        </w:rPr>
        <w:t xml:space="preserve">Student Loans </w:t>
      </w:r>
      <w:r w:rsidR="00C64EE7">
        <w:rPr>
          <w:rFonts w:ascii="Arial" w:eastAsia="Times New Roman" w:hAnsi="Arial" w:cs="Arial"/>
          <w:b/>
          <w:sz w:val="22"/>
          <w:szCs w:val="22"/>
        </w:rPr>
        <w:t>(Tax year 2017</w:t>
      </w:r>
      <w:r w:rsidR="009D7D84">
        <w:rPr>
          <w:rFonts w:ascii="Arial" w:eastAsia="Times New Roman" w:hAnsi="Arial" w:cs="Arial"/>
          <w:b/>
          <w:sz w:val="22"/>
          <w:szCs w:val="22"/>
        </w:rPr>
        <w:t>—</w:t>
      </w:r>
      <w:r w:rsidR="00C64EE7">
        <w:rPr>
          <w:rFonts w:ascii="Arial" w:eastAsia="Times New Roman" w:hAnsi="Arial" w:cs="Arial"/>
          <w:b/>
          <w:sz w:val="22"/>
          <w:szCs w:val="22"/>
        </w:rPr>
        <w:t>18)</w:t>
      </w:r>
    </w:p>
    <w:p w14:paraId="36C33ADF" w14:textId="77777777" w:rsidR="00DB6A2A" w:rsidRPr="00122929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 xml:space="preserve">The Student Loans Company (SLC) gives loans to students at university. </w:t>
      </w:r>
    </w:p>
    <w:p w14:paraId="7AB647B6" w14:textId="472311F1" w:rsidR="00DB6A2A" w:rsidRPr="00122929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 xml:space="preserve">There are </w:t>
      </w:r>
      <w:r w:rsidR="009D7D84">
        <w:rPr>
          <w:rFonts w:ascii="Arial" w:eastAsia="Times New Roman" w:hAnsi="Arial" w:cs="Arial"/>
          <w:sz w:val="22"/>
          <w:szCs w:val="22"/>
        </w:rPr>
        <w:t>2</w:t>
      </w:r>
      <w:r w:rsidRPr="00DB6A2A">
        <w:rPr>
          <w:rFonts w:ascii="Arial" w:eastAsia="Times New Roman" w:hAnsi="Arial" w:cs="Arial"/>
          <w:sz w:val="22"/>
          <w:szCs w:val="22"/>
        </w:rPr>
        <w:t xml:space="preserve"> types of repayment plan for student loans. If you started your course before 1 September 2012 you will be on repayment plan 1 </w:t>
      </w:r>
    </w:p>
    <w:p w14:paraId="3DEA14FE" w14:textId="77777777" w:rsidR="00DB6A2A" w:rsidRPr="00122929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sz w:val="22"/>
          <w:szCs w:val="22"/>
        </w:rPr>
        <w:t>If you started your course on or after 1 September 2012 you will be on repayment plan 2</w:t>
      </w:r>
      <w:r w:rsidRPr="00122929">
        <w:rPr>
          <w:rFonts w:ascii="Arial" w:eastAsia="Times New Roman" w:hAnsi="Arial" w:cs="Arial"/>
          <w:sz w:val="22"/>
          <w:szCs w:val="22"/>
        </w:rPr>
        <w:t>.</w:t>
      </w:r>
      <w:r w:rsidRPr="00DB6A2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834221F" w14:textId="77777777" w:rsidR="00B84C82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DB6A2A">
        <w:rPr>
          <w:rFonts w:ascii="Arial" w:eastAsia="Times New Roman" w:hAnsi="Arial" w:cs="Arial"/>
          <w:b/>
          <w:sz w:val="22"/>
          <w:szCs w:val="22"/>
        </w:rPr>
        <w:t>Repayment plan 1</w:t>
      </w:r>
      <w:r w:rsidRPr="00DB6A2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630DF4E6" w14:textId="6B288890" w:rsidR="00DB6A2A" w:rsidRPr="00A75D67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A75D67">
        <w:rPr>
          <w:rFonts w:ascii="Arial" w:eastAsia="Times New Roman" w:hAnsi="Arial" w:cs="Arial"/>
          <w:sz w:val="22"/>
          <w:szCs w:val="22"/>
        </w:rPr>
        <w:t>You only start making repayments when your gross income is over the threshold of £</w:t>
      </w:r>
      <w:r w:rsidR="00C64EE7" w:rsidRPr="00A75D67">
        <w:rPr>
          <w:rFonts w:ascii="Arial" w:eastAsia="Times New Roman" w:hAnsi="Arial" w:cs="Arial"/>
          <w:sz w:val="22"/>
          <w:szCs w:val="22"/>
        </w:rPr>
        <w:t>17</w:t>
      </w:r>
      <w:r w:rsidR="009D7D84">
        <w:rPr>
          <w:rFonts w:ascii="Arial" w:eastAsia="Times New Roman" w:hAnsi="Arial" w:cs="Arial"/>
          <w:sz w:val="22"/>
          <w:szCs w:val="22"/>
        </w:rPr>
        <w:t>,</w:t>
      </w:r>
      <w:r w:rsidR="00C64EE7" w:rsidRPr="00A75D67">
        <w:rPr>
          <w:rFonts w:ascii="Arial" w:eastAsia="Times New Roman" w:hAnsi="Arial" w:cs="Arial"/>
          <w:sz w:val="22"/>
          <w:szCs w:val="22"/>
        </w:rPr>
        <w:t>775</w:t>
      </w:r>
      <w:r w:rsidR="00222095" w:rsidRPr="00A75D67">
        <w:rPr>
          <w:rFonts w:ascii="Arial" w:eastAsia="Times New Roman" w:hAnsi="Arial" w:cs="Arial"/>
          <w:sz w:val="22"/>
          <w:szCs w:val="22"/>
        </w:rPr>
        <w:t xml:space="preserve"> </w:t>
      </w:r>
      <w:r w:rsidRPr="00A75D67">
        <w:rPr>
          <w:rFonts w:ascii="Arial" w:eastAsia="Times New Roman" w:hAnsi="Arial" w:cs="Arial"/>
          <w:sz w:val="22"/>
          <w:szCs w:val="22"/>
        </w:rPr>
        <w:t>a year</w:t>
      </w:r>
      <w:r w:rsidR="00222095" w:rsidRPr="00A75D67">
        <w:rPr>
          <w:rFonts w:ascii="Arial" w:eastAsia="Times New Roman" w:hAnsi="Arial" w:cs="Arial"/>
          <w:sz w:val="22"/>
          <w:szCs w:val="22"/>
        </w:rPr>
        <w:t xml:space="preserve"> (£</w:t>
      </w:r>
      <w:r w:rsidR="00C64EE7" w:rsidRPr="00A75D67">
        <w:rPr>
          <w:rFonts w:ascii="Arial" w:eastAsia="Times New Roman" w:hAnsi="Arial" w:cs="Arial"/>
          <w:sz w:val="22"/>
          <w:szCs w:val="22"/>
        </w:rPr>
        <w:t xml:space="preserve">1481.25 </w:t>
      </w:r>
      <w:r w:rsidR="00222095" w:rsidRPr="00A75D67">
        <w:rPr>
          <w:rFonts w:ascii="Arial" w:eastAsia="Times New Roman" w:hAnsi="Arial" w:cs="Arial"/>
          <w:sz w:val="22"/>
          <w:szCs w:val="22"/>
        </w:rPr>
        <w:t>per month, £</w:t>
      </w:r>
      <w:r w:rsidR="00C64EE7" w:rsidRPr="00A75D67">
        <w:rPr>
          <w:rFonts w:ascii="Arial" w:eastAsia="Times New Roman" w:hAnsi="Arial" w:cs="Arial"/>
          <w:sz w:val="22"/>
          <w:szCs w:val="22"/>
        </w:rPr>
        <w:t>341.82</w:t>
      </w:r>
      <w:r w:rsidR="00222095" w:rsidRPr="00A75D67">
        <w:rPr>
          <w:rFonts w:ascii="Arial" w:eastAsia="Times New Roman" w:hAnsi="Arial" w:cs="Arial"/>
          <w:sz w:val="22"/>
          <w:szCs w:val="22"/>
        </w:rPr>
        <w:t xml:space="preserve"> per week)</w:t>
      </w:r>
      <w:r w:rsidRPr="00A75D67">
        <w:rPr>
          <w:rFonts w:ascii="Arial" w:eastAsia="Times New Roman" w:hAnsi="Arial" w:cs="Arial"/>
          <w:sz w:val="22"/>
          <w:szCs w:val="22"/>
        </w:rPr>
        <w:t xml:space="preserve">. You pay </w:t>
      </w:r>
      <w:r w:rsidR="00B84C82" w:rsidRPr="00A75D67">
        <w:rPr>
          <w:rFonts w:ascii="Arial" w:eastAsia="Times New Roman" w:hAnsi="Arial" w:cs="Arial"/>
          <w:sz w:val="22"/>
          <w:szCs w:val="22"/>
        </w:rPr>
        <w:t>9</w:t>
      </w:r>
      <w:r w:rsidRPr="00A75D67">
        <w:rPr>
          <w:rFonts w:ascii="Arial" w:eastAsia="Times New Roman" w:hAnsi="Arial" w:cs="Arial"/>
          <w:sz w:val="22"/>
          <w:szCs w:val="22"/>
        </w:rPr>
        <w:t xml:space="preserve">% of anything you earn over the threshold. </w:t>
      </w:r>
    </w:p>
    <w:p w14:paraId="2978FC24" w14:textId="77777777" w:rsidR="00B84C82" w:rsidRPr="00A75D67" w:rsidRDefault="00DB6A2A" w:rsidP="00DB6A2A">
      <w:pPr>
        <w:spacing w:before="120" w:after="120"/>
        <w:rPr>
          <w:rFonts w:ascii="Arial" w:eastAsia="Times New Roman" w:hAnsi="Arial" w:cs="Arial"/>
          <w:b/>
          <w:sz w:val="22"/>
          <w:szCs w:val="22"/>
        </w:rPr>
      </w:pPr>
      <w:r w:rsidRPr="00A75D67">
        <w:rPr>
          <w:rFonts w:ascii="Arial" w:eastAsia="Times New Roman" w:hAnsi="Arial" w:cs="Arial"/>
          <w:b/>
          <w:sz w:val="22"/>
          <w:szCs w:val="22"/>
        </w:rPr>
        <w:t xml:space="preserve">Repayment plan 2 </w:t>
      </w:r>
    </w:p>
    <w:p w14:paraId="216DA9BA" w14:textId="6428F855" w:rsidR="00DB6A2A" w:rsidRPr="00DB6A2A" w:rsidRDefault="00DB6A2A" w:rsidP="00DB6A2A">
      <w:pPr>
        <w:spacing w:before="120" w:after="120"/>
        <w:rPr>
          <w:rFonts w:ascii="Arial" w:eastAsia="Times New Roman" w:hAnsi="Arial" w:cs="Arial"/>
          <w:sz w:val="22"/>
          <w:szCs w:val="22"/>
        </w:rPr>
      </w:pPr>
      <w:r w:rsidRPr="00A75D67">
        <w:rPr>
          <w:rFonts w:ascii="Arial" w:eastAsia="Times New Roman" w:hAnsi="Arial" w:cs="Arial"/>
          <w:sz w:val="22"/>
          <w:szCs w:val="22"/>
        </w:rPr>
        <w:t>You only start making repayments when your gross income is over the threshold of £2</w:t>
      </w:r>
      <w:r w:rsidR="00B84C82" w:rsidRPr="00A75D67">
        <w:rPr>
          <w:rFonts w:ascii="Arial" w:eastAsia="Times New Roman" w:hAnsi="Arial" w:cs="Arial"/>
          <w:sz w:val="22"/>
          <w:szCs w:val="22"/>
        </w:rPr>
        <w:t>5</w:t>
      </w:r>
      <w:r w:rsidR="006B441E" w:rsidRPr="00A75D67">
        <w:rPr>
          <w:rFonts w:ascii="Arial" w:eastAsia="Times New Roman" w:hAnsi="Arial" w:cs="Arial"/>
          <w:sz w:val="22"/>
          <w:szCs w:val="22"/>
        </w:rPr>
        <w:t>,</w:t>
      </w:r>
      <w:r w:rsidRPr="00A75D67">
        <w:rPr>
          <w:rFonts w:ascii="Arial" w:eastAsia="Times New Roman" w:hAnsi="Arial" w:cs="Arial"/>
          <w:sz w:val="22"/>
          <w:szCs w:val="22"/>
        </w:rPr>
        <w:t>000 a year</w:t>
      </w:r>
      <w:r w:rsidR="00B84C82" w:rsidRPr="00A75D67">
        <w:rPr>
          <w:rFonts w:ascii="Arial" w:eastAsia="Times New Roman" w:hAnsi="Arial" w:cs="Arial"/>
          <w:sz w:val="22"/>
          <w:szCs w:val="22"/>
        </w:rPr>
        <w:t xml:space="preserve"> (£</w:t>
      </w:r>
      <w:r w:rsidR="00C64EE7" w:rsidRPr="00A75D67">
        <w:rPr>
          <w:rFonts w:ascii="Arial" w:eastAsia="Times New Roman" w:hAnsi="Arial" w:cs="Arial"/>
          <w:sz w:val="22"/>
          <w:szCs w:val="22"/>
        </w:rPr>
        <w:t xml:space="preserve">1750.00 </w:t>
      </w:r>
      <w:r w:rsidR="00B84C82" w:rsidRPr="00A75D67">
        <w:rPr>
          <w:rFonts w:ascii="Arial" w:eastAsia="Times New Roman" w:hAnsi="Arial" w:cs="Arial"/>
          <w:sz w:val="22"/>
          <w:szCs w:val="22"/>
        </w:rPr>
        <w:t>per month, £4</w:t>
      </w:r>
      <w:r w:rsidR="00C64EE7" w:rsidRPr="00A75D67">
        <w:rPr>
          <w:rFonts w:ascii="Arial" w:eastAsia="Times New Roman" w:hAnsi="Arial" w:cs="Arial"/>
          <w:sz w:val="22"/>
          <w:szCs w:val="22"/>
        </w:rPr>
        <w:t>03.84</w:t>
      </w:r>
      <w:r w:rsidR="00B84C82" w:rsidRPr="00A75D67">
        <w:rPr>
          <w:rFonts w:ascii="Arial" w:eastAsia="Times New Roman" w:hAnsi="Arial" w:cs="Arial"/>
          <w:sz w:val="22"/>
          <w:szCs w:val="22"/>
        </w:rPr>
        <w:t xml:space="preserve"> per week</w:t>
      </w:r>
      <w:r w:rsidR="00794670" w:rsidRPr="00A75D67">
        <w:rPr>
          <w:rFonts w:ascii="Arial" w:eastAsia="Times New Roman" w:hAnsi="Arial" w:cs="Arial"/>
          <w:sz w:val="22"/>
          <w:szCs w:val="22"/>
        </w:rPr>
        <w:t>)</w:t>
      </w:r>
      <w:r w:rsidRPr="00A75D67">
        <w:rPr>
          <w:rFonts w:ascii="Arial" w:eastAsia="Times New Roman" w:hAnsi="Arial" w:cs="Arial"/>
          <w:sz w:val="22"/>
          <w:szCs w:val="22"/>
        </w:rPr>
        <w:t xml:space="preserve">. You pay 9% of anything </w:t>
      </w:r>
      <w:r w:rsidRPr="00DB6A2A">
        <w:rPr>
          <w:rFonts w:ascii="Arial" w:eastAsia="Times New Roman" w:hAnsi="Arial" w:cs="Arial"/>
          <w:sz w:val="22"/>
          <w:szCs w:val="22"/>
        </w:rPr>
        <w:t>you earn over the threshold. For either plan you can also make additional voluntary repayments to SLC at any time which will reduce your balance earlier.</w:t>
      </w:r>
    </w:p>
    <w:p w14:paraId="7A26D516" w14:textId="26E7DD42" w:rsidR="009D7D84" w:rsidRDefault="009D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FFAA21" w14:textId="77777777" w:rsidR="00F57FEA" w:rsidRPr="00B61E73" w:rsidRDefault="00F57FEA" w:rsidP="00F57FEA">
      <w:pPr>
        <w:rPr>
          <w:rFonts w:ascii="Arial" w:hAnsi="Arial" w:cs="Arial"/>
          <w:b/>
          <w:bCs/>
          <w:sz w:val="22"/>
          <w:szCs w:val="22"/>
        </w:rPr>
      </w:pPr>
      <w:r w:rsidRPr="00B61E73">
        <w:rPr>
          <w:rFonts w:ascii="Arial" w:hAnsi="Arial" w:cs="Arial"/>
          <w:b/>
          <w:bCs/>
          <w:sz w:val="22"/>
          <w:szCs w:val="22"/>
        </w:rPr>
        <w:lastRenderedPageBreak/>
        <w:t>House prices: how much does one square metre cost in your area?</w:t>
      </w:r>
    </w:p>
    <w:p w14:paraId="222E739B" w14:textId="05CBEEAB" w:rsidR="001F219F" w:rsidRPr="00B61E73" w:rsidRDefault="00795D95" w:rsidP="001F219F">
      <w:pPr>
        <w:rPr>
          <w:rFonts w:ascii="Arial" w:hAnsi="Arial" w:cs="Arial"/>
          <w:sz w:val="22"/>
          <w:szCs w:val="22"/>
        </w:rPr>
      </w:pPr>
      <w:hyperlink r:id="rId18" w:history="1">
        <w:r w:rsidR="00D6785F">
          <w:rPr>
            <w:rStyle w:val="Hyperlink"/>
            <w:rFonts w:ascii="Arial" w:hAnsi="Arial" w:cs="Arial"/>
            <w:sz w:val="22"/>
            <w:szCs w:val="22"/>
          </w:rPr>
          <w:t>www.ons.gov.uk/peoplepopulationandcommunity/housing/articles/housepriceshowmuchdoesonesquaremetrecostinyourarea/2017-10-11</w:t>
        </w:r>
      </w:hyperlink>
      <w:r w:rsidR="001F219F" w:rsidRPr="00B61E7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1F219F" w:rsidRPr="00B61E73">
        <w:rPr>
          <w:rFonts w:ascii="Arial" w:hAnsi="Arial" w:cs="Arial"/>
          <w:sz w:val="22"/>
          <w:szCs w:val="22"/>
        </w:rPr>
        <w:t>Accessed 27/08/2018.</w:t>
      </w:r>
    </w:p>
    <w:p w14:paraId="6B15BCF3" w14:textId="77777777" w:rsidR="00F57FEA" w:rsidRPr="00B61E73" w:rsidRDefault="00F57FEA">
      <w:pPr>
        <w:rPr>
          <w:rFonts w:ascii="Arial" w:hAnsi="Arial" w:cs="Arial"/>
          <w:sz w:val="22"/>
          <w:szCs w:val="22"/>
        </w:rPr>
      </w:pPr>
    </w:p>
    <w:p w14:paraId="3BFEA698" w14:textId="77777777" w:rsidR="00C163AC" w:rsidRPr="00B61E73" w:rsidRDefault="00C163AC" w:rsidP="00C163AC">
      <w:pPr>
        <w:rPr>
          <w:rFonts w:ascii="Arial" w:hAnsi="Arial" w:cs="Arial"/>
          <w:b/>
          <w:sz w:val="22"/>
          <w:szCs w:val="22"/>
        </w:rPr>
      </w:pPr>
      <w:r w:rsidRPr="00B61E73">
        <w:rPr>
          <w:rFonts w:ascii="Arial" w:hAnsi="Arial" w:cs="Arial"/>
          <w:b/>
          <w:sz w:val="22"/>
          <w:szCs w:val="22"/>
        </w:rPr>
        <w:t>Punctuality statistics for 25 UK Airports</w:t>
      </w:r>
    </w:p>
    <w:p w14:paraId="3349F9D9" w14:textId="5344F8A6" w:rsidR="00C163AC" w:rsidRPr="00B61E73" w:rsidRDefault="00795D95" w:rsidP="00C163AC">
      <w:pPr>
        <w:rPr>
          <w:rFonts w:ascii="Arial" w:hAnsi="Arial" w:cs="Arial"/>
          <w:sz w:val="22"/>
          <w:szCs w:val="22"/>
        </w:rPr>
      </w:pPr>
      <w:hyperlink r:id="rId19" w:history="1">
        <w:r w:rsidR="00D6785F">
          <w:rPr>
            <w:rStyle w:val="Hyperlink"/>
            <w:rFonts w:ascii="Arial" w:hAnsi="Arial" w:cs="Arial"/>
            <w:sz w:val="22"/>
            <w:szCs w:val="22"/>
          </w:rPr>
          <w:t>www.caa.co.uk/Data-and-analysis/UK-aviation-market/Flight-reliability/Datasets/Punctuality-data/Punctuality-statistics-2017/</w:t>
        </w:r>
      </w:hyperlink>
      <w:r w:rsidR="001F219F" w:rsidRPr="00B61E73">
        <w:rPr>
          <w:rFonts w:ascii="Arial" w:hAnsi="Arial" w:cs="Arial"/>
          <w:sz w:val="22"/>
          <w:szCs w:val="22"/>
        </w:rPr>
        <w:t xml:space="preserve"> Accessed 27/08/2018.</w:t>
      </w:r>
    </w:p>
    <w:p w14:paraId="3802D180" w14:textId="7CACBE5F" w:rsidR="00C163AC" w:rsidRPr="00B61E73" w:rsidRDefault="00C163AC">
      <w:pPr>
        <w:rPr>
          <w:rFonts w:ascii="Arial" w:hAnsi="Arial" w:cs="Arial"/>
          <w:sz w:val="22"/>
          <w:szCs w:val="22"/>
        </w:rPr>
      </w:pPr>
    </w:p>
    <w:p w14:paraId="2DE1CC89" w14:textId="77777777" w:rsidR="007B4910" w:rsidRPr="00B61E73" w:rsidRDefault="007B4910" w:rsidP="007B4910">
      <w:pPr>
        <w:rPr>
          <w:rFonts w:ascii="Arial" w:hAnsi="Arial" w:cs="Arial"/>
          <w:b/>
          <w:sz w:val="22"/>
          <w:szCs w:val="22"/>
        </w:rPr>
      </w:pPr>
      <w:r w:rsidRPr="00B61E73">
        <w:rPr>
          <w:rFonts w:ascii="Arial" w:hAnsi="Arial" w:cs="Arial"/>
          <w:b/>
          <w:sz w:val="22"/>
          <w:szCs w:val="22"/>
        </w:rPr>
        <w:t>Rates and allowances: HM Revenue and Customs</w:t>
      </w:r>
    </w:p>
    <w:p w14:paraId="2B6EDB04" w14:textId="7A0FBBD2" w:rsidR="007B4910" w:rsidRPr="00B61E73" w:rsidRDefault="00795D95" w:rsidP="007B4910">
      <w:pPr>
        <w:rPr>
          <w:rFonts w:ascii="Arial" w:hAnsi="Arial" w:cs="Arial"/>
          <w:sz w:val="22"/>
          <w:szCs w:val="22"/>
        </w:rPr>
      </w:pPr>
      <w:hyperlink r:id="rId20" w:history="1">
        <w:r w:rsidR="007B4910" w:rsidRPr="00B61E73">
          <w:rPr>
            <w:rStyle w:val="Hyperlink"/>
            <w:rFonts w:ascii="Arial" w:hAnsi="Arial" w:cs="Arial"/>
            <w:sz w:val="22"/>
            <w:szCs w:val="22"/>
          </w:rPr>
          <w:t>www.gov.uk/guidance/rates-and-thresholds-for-employers-2017-to-2018</w:t>
        </w:r>
      </w:hyperlink>
      <w:r w:rsidR="00B61E73">
        <w:rPr>
          <w:rFonts w:ascii="Arial" w:hAnsi="Arial" w:cs="Arial"/>
          <w:sz w:val="22"/>
          <w:szCs w:val="22"/>
        </w:rPr>
        <w:t xml:space="preserve"> </w:t>
      </w:r>
      <w:r w:rsidR="007B4910" w:rsidRPr="00B61E73">
        <w:rPr>
          <w:rFonts w:ascii="Arial" w:hAnsi="Arial" w:cs="Arial"/>
          <w:sz w:val="22"/>
          <w:szCs w:val="22"/>
        </w:rPr>
        <w:t>Accessed 04/09/18</w:t>
      </w:r>
      <w:r w:rsidR="00B61E73">
        <w:rPr>
          <w:rFonts w:ascii="Arial" w:hAnsi="Arial" w:cs="Arial"/>
          <w:sz w:val="22"/>
          <w:szCs w:val="22"/>
        </w:rPr>
        <w:t>.</w:t>
      </w:r>
    </w:p>
    <w:sectPr w:rsidR="007B4910" w:rsidRPr="00B61E73" w:rsidSect="001F219F">
      <w:pgSz w:w="11900" w:h="16840"/>
      <w:pgMar w:top="1134" w:right="851" w:bottom="1134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FF9F" w14:textId="77777777" w:rsidR="00795D95" w:rsidRDefault="00795D95" w:rsidP="00F57FEA">
      <w:r>
        <w:separator/>
      </w:r>
    </w:p>
  </w:endnote>
  <w:endnote w:type="continuationSeparator" w:id="0">
    <w:p w14:paraId="5DF1E60A" w14:textId="77777777" w:rsidR="00795D95" w:rsidRDefault="00795D95" w:rsidP="00F5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E811" w14:textId="77777777" w:rsidR="00CC38EA" w:rsidRDefault="00CC3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74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64F28" w14:textId="609663B9" w:rsidR="00D05C17" w:rsidRDefault="00D05C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7EB294" w14:textId="77777777" w:rsidR="00950423" w:rsidRDefault="00950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AEC3" w14:textId="77777777" w:rsidR="00CC38EA" w:rsidRDefault="00CC3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3B05" w14:textId="77777777" w:rsidR="00795D95" w:rsidRDefault="00795D95" w:rsidP="00F57FEA">
      <w:r>
        <w:separator/>
      </w:r>
    </w:p>
  </w:footnote>
  <w:footnote w:type="continuationSeparator" w:id="0">
    <w:p w14:paraId="70E8D846" w14:textId="77777777" w:rsidR="00795D95" w:rsidRDefault="00795D95" w:rsidP="00F57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6EDF" w14:textId="77777777" w:rsidR="00CC38EA" w:rsidRDefault="00CC3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B39E" w14:textId="77777777" w:rsidR="00950423" w:rsidRDefault="00950423" w:rsidP="00F57FEA">
    <w:pPr>
      <w:pStyle w:val="Header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F149" w14:textId="7CCAC396" w:rsidR="00950423" w:rsidRDefault="00CC38EA" w:rsidP="00F57FEA">
    <w:pPr>
      <w:pStyle w:val="Header"/>
      <w:ind w:left="-142"/>
    </w:pPr>
    <w:r>
      <w:rPr>
        <w:noProof/>
        <w:sz w:val="20"/>
        <w:lang w:eastAsia="en-GB"/>
      </w:rPr>
      <w:drawing>
        <wp:inline distT="0" distB="0" distL="0" distR="0" wp14:anchorId="09BE45C9" wp14:editId="6387DFE6">
          <wp:extent cx="1978660" cy="57340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3A1F" w14:textId="77777777" w:rsidR="00950423" w:rsidRDefault="00950423" w:rsidP="00F57FEA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7486846"/>
    <w:multiLevelType w:val="hybridMultilevel"/>
    <w:tmpl w:val="3F34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0920"/>
    <w:multiLevelType w:val="multilevel"/>
    <w:tmpl w:val="7422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FD"/>
    <w:rsid w:val="00044E68"/>
    <w:rsid w:val="0010511A"/>
    <w:rsid w:val="00107183"/>
    <w:rsid w:val="001129C2"/>
    <w:rsid w:val="00122929"/>
    <w:rsid w:val="00134A3A"/>
    <w:rsid w:val="001805AB"/>
    <w:rsid w:val="00183A19"/>
    <w:rsid w:val="001A5287"/>
    <w:rsid w:val="001C491C"/>
    <w:rsid w:val="001D6D61"/>
    <w:rsid w:val="001F219F"/>
    <w:rsid w:val="00201389"/>
    <w:rsid w:val="00222095"/>
    <w:rsid w:val="00240159"/>
    <w:rsid w:val="002601C8"/>
    <w:rsid w:val="00333F70"/>
    <w:rsid w:val="0034367F"/>
    <w:rsid w:val="0038467C"/>
    <w:rsid w:val="003D59E4"/>
    <w:rsid w:val="003E2513"/>
    <w:rsid w:val="004316F3"/>
    <w:rsid w:val="004B6106"/>
    <w:rsid w:val="004D3CB0"/>
    <w:rsid w:val="0053215B"/>
    <w:rsid w:val="00560A15"/>
    <w:rsid w:val="00572550"/>
    <w:rsid w:val="005D5D12"/>
    <w:rsid w:val="005F4375"/>
    <w:rsid w:val="00674968"/>
    <w:rsid w:val="0069202D"/>
    <w:rsid w:val="006B2FB7"/>
    <w:rsid w:val="006B441E"/>
    <w:rsid w:val="007253DB"/>
    <w:rsid w:val="00752926"/>
    <w:rsid w:val="007706CA"/>
    <w:rsid w:val="00794670"/>
    <w:rsid w:val="00795D95"/>
    <w:rsid w:val="007B482A"/>
    <w:rsid w:val="007B4910"/>
    <w:rsid w:val="008066D3"/>
    <w:rsid w:val="00812027"/>
    <w:rsid w:val="00897460"/>
    <w:rsid w:val="008A2821"/>
    <w:rsid w:val="008C3065"/>
    <w:rsid w:val="009241CE"/>
    <w:rsid w:val="00943F44"/>
    <w:rsid w:val="00950423"/>
    <w:rsid w:val="009C4F3D"/>
    <w:rsid w:val="009D7D84"/>
    <w:rsid w:val="009E6793"/>
    <w:rsid w:val="00A47FAC"/>
    <w:rsid w:val="00A75D67"/>
    <w:rsid w:val="00AC37BA"/>
    <w:rsid w:val="00B063E3"/>
    <w:rsid w:val="00B140FD"/>
    <w:rsid w:val="00B23C16"/>
    <w:rsid w:val="00B53EE2"/>
    <w:rsid w:val="00B61E73"/>
    <w:rsid w:val="00B84C82"/>
    <w:rsid w:val="00BA4C42"/>
    <w:rsid w:val="00BE2A0A"/>
    <w:rsid w:val="00BE6419"/>
    <w:rsid w:val="00C163AC"/>
    <w:rsid w:val="00C50B4E"/>
    <w:rsid w:val="00C64EE7"/>
    <w:rsid w:val="00C84A8C"/>
    <w:rsid w:val="00CB1A0E"/>
    <w:rsid w:val="00CC38EA"/>
    <w:rsid w:val="00D00EEB"/>
    <w:rsid w:val="00D05C17"/>
    <w:rsid w:val="00D6785F"/>
    <w:rsid w:val="00D96655"/>
    <w:rsid w:val="00DA1BCB"/>
    <w:rsid w:val="00DB6A2A"/>
    <w:rsid w:val="00DF188E"/>
    <w:rsid w:val="00DF2FBC"/>
    <w:rsid w:val="00E3402B"/>
    <w:rsid w:val="00E965EA"/>
    <w:rsid w:val="00F57FEA"/>
    <w:rsid w:val="00FC1D50"/>
    <w:rsid w:val="00FD3FAC"/>
    <w:rsid w:val="00FE65A9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56E67"/>
  <w14:defaultImageDpi w14:val="32767"/>
  <w15:chartTrackingRefBased/>
  <w15:docId w15:val="{68C1DD63-8193-6C49-AD43-FA5E71F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34A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0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140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4A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4A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013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FEA"/>
  </w:style>
  <w:style w:type="paragraph" w:styleId="Footer">
    <w:name w:val="footer"/>
    <w:basedOn w:val="Normal"/>
    <w:link w:val="FooterChar"/>
    <w:uiPriority w:val="99"/>
    <w:unhideWhenUsed/>
    <w:rsid w:val="00F57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FEA"/>
  </w:style>
  <w:style w:type="paragraph" w:styleId="BodyText">
    <w:name w:val="Body Text"/>
    <w:basedOn w:val="Normal"/>
    <w:link w:val="BodyTextChar"/>
    <w:uiPriority w:val="1"/>
    <w:qFormat/>
    <w:rsid w:val="00F57FEA"/>
    <w:pPr>
      <w:widowControl w:val="0"/>
      <w:ind w:left="103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57FEA"/>
    <w:rPr>
      <w:rFonts w:ascii="Arial" w:eastAsia="Arial" w:hAnsi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57FEA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5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D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D1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49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7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683">
          <w:marLeft w:val="0"/>
          <w:marRight w:val="18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252">
          <w:marLeft w:val="750"/>
          <w:marRight w:val="750"/>
          <w:marTop w:val="300"/>
          <w:marBottom w:val="30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4097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9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5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507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ons.gov.uk/peoplepopulationandcommunity/housing/articles/housepriceshowmuchdoesonesquaremetrecostinyourarea/2017-10-1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gov.uk/guidance/rates-and-thresholds-for-employers-2017-to-201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caa.co.uk/Data-and-analysis/UK-aviation-market/Flight-reliability/Datasets/Punctuality-data/Punctuality-statistics-2017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14" ma:contentTypeDescription="Create a new document." ma:contentTypeScope="" ma:versionID="ec7cdc075b613a3f9431e8822898c86f">
  <xsd:schema xmlns:xsd="http://www.w3.org/2001/XMLSchema" xmlns:xs="http://www.w3.org/2001/XMLSchema" xmlns:p="http://schemas.microsoft.com/office/2006/metadata/properties" xmlns:ns2="febda5d2-0fc6-47b3-9470-816d2e039b0b" xmlns:ns3="24ca6e5b-e4aa-4a56-b630-202e7c0fe267" targetNamespace="http://schemas.microsoft.com/office/2006/metadata/properties" ma:root="true" ma:fieldsID="77e634368a6fa1241b5343011db91960" ns2:_="" ns3:_=""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60170-CD1D-4DF5-9E26-DA6C096C5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6C0CE5-54CD-4947-8BC8-F4199B8A9C38}">
  <ds:schemaRefs>
    <ds:schemaRef ds:uri="http://schemas.microsoft.com/office/2006/metadata/properties"/>
    <ds:schemaRef ds:uri="http://schemas.microsoft.com/office/infopath/2007/PartnerControls"/>
    <ds:schemaRef ds:uri="febda5d2-0fc6-47b3-9470-816d2e039b0b"/>
  </ds:schemaRefs>
</ds:datastoreItem>
</file>

<file path=customXml/itemProps3.xml><?xml version="1.0" encoding="utf-8"?>
<ds:datastoreItem xmlns:ds="http://schemas.openxmlformats.org/officeDocument/2006/customXml" ds:itemID="{B12E77FC-11E2-426D-A3BF-508081D562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71C527-5EE8-4243-94FE-41B975882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Robinson</dc:creator>
  <cp:keywords/>
  <dc:description/>
  <cp:lastModifiedBy>Adam Bewick</cp:lastModifiedBy>
  <cp:revision>3</cp:revision>
  <cp:lastPrinted>2018-09-11T12:41:00Z</cp:lastPrinted>
  <dcterms:created xsi:type="dcterms:W3CDTF">2020-04-23T14:19:00Z</dcterms:created>
  <dcterms:modified xsi:type="dcterms:W3CDTF">2021-06-11T08:06:00Z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327000</vt:r8>
  </property>
</Properties>
</file>