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12A5D" w14:textId="77777777" w:rsidR="001C6C2D" w:rsidRPr="00C860A6" w:rsidRDefault="001C6C2D" w:rsidP="001C6C2D">
      <w:pPr>
        <w:pStyle w:val="BodyText"/>
        <w:rPr>
          <w:b/>
          <w:bCs/>
          <w:color w:val="00B4BC"/>
          <w:sz w:val="28"/>
          <w:szCs w:val="22"/>
        </w:rPr>
      </w:pPr>
      <w:r w:rsidRPr="00C860A6">
        <w:rPr>
          <w:b/>
          <w:bCs/>
          <w:color w:val="00B4BC"/>
          <w:sz w:val="28"/>
          <w:szCs w:val="22"/>
        </w:rPr>
        <w:t>Chief Examiner Repo</w:t>
      </w:r>
      <w:r>
        <w:rPr>
          <w:b/>
          <w:bCs/>
          <w:color w:val="00B4BC"/>
          <w:sz w:val="28"/>
          <w:szCs w:val="22"/>
        </w:rPr>
        <w:t>rt for Functional Skills Mathematics</w:t>
      </w:r>
    </w:p>
    <w:p w14:paraId="00330449" w14:textId="77777777" w:rsidR="001C6C2D" w:rsidRPr="00C860A6" w:rsidRDefault="001C6C2D" w:rsidP="001C6C2D">
      <w:pPr>
        <w:pStyle w:val="BodyText"/>
        <w:rPr>
          <w:b/>
          <w:bCs/>
          <w:color w:val="00B4BC"/>
          <w:sz w:val="28"/>
          <w:szCs w:val="22"/>
        </w:rPr>
      </w:pPr>
    </w:p>
    <w:p w14:paraId="40381779" w14:textId="77777777" w:rsidR="001C6C2D" w:rsidRPr="00576F43" w:rsidRDefault="001C6C2D" w:rsidP="001C6C2D">
      <w:pPr>
        <w:pStyle w:val="BodyText"/>
        <w:rPr>
          <w:b/>
          <w:bCs/>
          <w:color w:val="00B4BC"/>
          <w:sz w:val="28"/>
          <w:szCs w:val="22"/>
        </w:rPr>
      </w:pPr>
      <w:r w:rsidRPr="00576F43">
        <w:rPr>
          <w:b/>
          <w:bCs/>
          <w:color w:val="00B4BC"/>
          <w:sz w:val="28"/>
          <w:szCs w:val="22"/>
        </w:rPr>
        <w:t>NCFE Functional Skills Qualification in Maths at Level 1 – 501/2325/7</w:t>
      </w:r>
    </w:p>
    <w:p w14:paraId="42E94437" w14:textId="77777777" w:rsidR="001C6C2D" w:rsidRDefault="001C6C2D" w:rsidP="001C6C2D">
      <w:pPr>
        <w:pStyle w:val="BodyText"/>
        <w:rPr>
          <w:b/>
          <w:bCs/>
          <w:color w:val="00B4BC"/>
          <w:sz w:val="28"/>
          <w:szCs w:val="22"/>
        </w:rPr>
      </w:pPr>
      <w:r w:rsidRPr="00576F43">
        <w:rPr>
          <w:b/>
          <w:bCs/>
          <w:color w:val="00B4BC"/>
          <w:sz w:val="28"/>
          <w:szCs w:val="22"/>
        </w:rPr>
        <w:t>NCFE Functional Skills Qualification in Maths at Level 2 – 501/2324/5</w:t>
      </w:r>
    </w:p>
    <w:p w14:paraId="09EAD03E" w14:textId="77777777" w:rsidR="001C6C2D" w:rsidRPr="00C860A6" w:rsidRDefault="001C6C2D" w:rsidP="001C6C2D">
      <w:pPr>
        <w:pStyle w:val="BodyText"/>
        <w:rPr>
          <w:b/>
          <w:bCs/>
          <w:color w:val="00B4BC"/>
          <w:sz w:val="28"/>
          <w:szCs w:val="22"/>
        </w:rPr>
      </w:pPr>
    </w:p>
    <w:p w14:paraId="1043A155" w14:textId="77777777" w:rsidR="001C6C2D" w:rsidRPr="00C860A6" w:rsidRDefault="001C6C2D" w:rsidP="001C6C2D">
      <w:pPr>
        <w:pStyle w:val="BodyText"/>
        <w:rPr>
          <w:b/>
          <w:bCs/>
          <w:color w:val="00B4BC"/>
          <w:sz w:val="28"/>
          <w:szCs w:val="22"/>
        </w:rPr>
      </w:pPr>
      <w:r>
        <w:rPr>
          <w:b/>
          <w:bCs/>
          <w:color w:val="00B4BC"/>
          <w:sz w:val="28"/>
          <w:szCs w:val="22"/>
        </w:rPr>
        <w:t>September 2019</w:t>
      </w:r>
    </w:p>
    <w:p w14:paraId="0D91064F" w14:textId="77777777" w:rsidR="001C6C2D" w:rsidRPr="00C860A6" w:rsidRDefault="001C6C2D" w:rsidP="001C6C2D">
      <w:pPr>
        <w:pStyle w:val="BodyText"/>
        <w:rPr>
          <w:b/>
          <w:bCs/>
          <w:color w:val="00B4BC"/>
          <w:sz w:val="28"/>
          <w:szCs w:val="22"/>
        </w:rPr>
      </w:pPr>
    </w:p>
    <w:p w14:paraId="0FABC2AB" w14:textId="77777777" w:rsidR="001C6C2D" w:rsidRDefault="001C6C2D" w:rsidP="001C6C2D">
      <w:pPr>
        <w:pStyle w:val="BodyText"/>
        <w:rPr>
          <w:b/>
          <w:bCs/>
          <w:color w:val="00B4BC"/>
          <w:sz w:val="28"/>
          <w:szCs w:val="22"/>
        </w:rPr>
      </w:pPr>
      <w:r w:rsidRPr="00C860A6">
        <w:rPr>
          <w:b/>
          <w:bCs/>
          <w:color w:val="00B4BC"/>
          <w:sz w:val="28"/>
          <w:szCs w:val="22"/>
        </w:rPr>
        <w:t>Level 1</w:t>
      </w:r>
    </w:p>
    <w:p w14:paraId="4B57D5EA" w14:textId="77777777" w:rsidR="001C6C2D" w:rsidRDefault="001C6C2D" w:rsidP="001C6C2D">
      <w:pPr>
        <w:pStyle w:val="BodyText"/>
        <w:rPr>
          <w:b/>
          <w:bCs/>
          <w:color w:val="00B4BC"/>
          <w:sz w:val="28"/>
          <w:szCs w:val="22"/>
        </w:rPr>
      </w:pPr>
    </w:p>
    <w:p w14:paraId="03B649E7" w14:textId="77777777" w:rsidR="001C6C2D" w:rsidRDefault="001C6C2D" w:rsidP="001C6C2D">
      <w:pPr>
        <w:pStyle w:val="BodyText"/>
        <w:rPr>
          <w:b/>
          <w:bCs/>
          <w:color w:val="00B4BC"/>
          <w:sz w:val="28"/>
          <w:szCs w:val="22"/>
        </w:rPr>
      </w:pPr>
      <w:r w:rsidRPr="0001095B">
        <w:rPr>
          <w:b/>
          <w:bCs/>
          <w:color w:val="00B4BC"/>
          <w:sz w:val="28"/>
          <w:szCs w:val="22"/>
        </w:rPr>
        <w:t>Number</w:t>
      </w:r>
      <w:r w:rsidRPr="003272FE">
        <w:rPr>
          <w:b/>
          <w:bCs/>
          <w:color w:val="00B4BC"/>
          <w:sz w:val="28"/>
          <w:szCs w:val="22"/>
        </w:rPr>
        <w:t>:</w:t>
      </w:r>
    </w:p>
    <w:p w14:paraId="033DD8DF" w14:textId="77777777" w:rsidR="001C6C2D" w:rsidRPr="003272FE" w:rsidRDefault="001C6C2D" w:rsidP="001C6C2D">
      <w:pPr>
        <w:pStyle w:val="BodyText"/>
        <w:rPr>
          <w:bCs/>
          <w:sz w:val="24"/>
          <w:szCs w:val="24"/>
        </w:rPr>
      </w:pPr>
    </w:p>
    <w:p w14:paraId="76B58E18" w14:textId="4E5AECE2" w:rsidR="001C6C2D" w:rsidRDefault="001C6C2D" w:rsidP="001C6C2D">
      <w:pPr>
        <w:pStyle w:val="BodyText"/>
        <w:rPr>
          <w:bCs/>
          <w:sz w:val="24"/>
          <w:szCs w:val="24"/>
        </w:rPr>
      </w:pPr>
      <w:r w:rsidRPr="003272FE">
        <w:rPr>
          <w:bCs/>
          <w:sz w:val="24"/>
          <w:szCs w:val="24"/>
        </w:rPr>
        <w:t>Errors are often seen with final displays of money, with responses freq</w:t>
      </w:r>
      <w:r w:rsidR="003B05DF">
        <w:rPr>
          <w:bCs/>
          <w:sz w:val="24"/>
          <w:szCs w:val="24"/>
        </w:rPr>
        <w:t>uently not shown to two decimal places</w:t>
      </w:r>
      <w:r w:rsidRPr="003272FE">
        <w:rPr>
          <w:bCs/>
          <w:sz w:val="24"/>
          <w:szCs w:val="24"/>
        </w:rPr>
        <w:t>,</w:t>
      </w:r>
      <w:r>
        <w:rPr>
          <w:bCs/>
          <w:sz w:val="24"/>
          <w:szCs w:val="24"/>
        </w:rPr>
        <w:t xml:space="preserve"> particularly when the value ends with a zero, i.e. £2.7 instead of £2.7</w:t>
      </w:r>
      <w:r w:rsidRPr="003272FE">
        <w:rPr>
          <w:bCs/>
          <w:sz w:val="24"/>
          <w:szCs w:val="24"/>
        </w:rPr>
        <w:t>0</w:t>
      </w:r>
      <w:r>
        <w:rPr>
          <w:bCs/>
          <w:sz w:val="24"/>
          <w:szCs w:val="24"/>
        </w:rPr>
        <w:t>,</w:t>
      </w:r>
      <w:r w:rsidRPr="003272FE">
        <w:rPr>
          <w:bCs/>
          <w:sz w:val="24"/>
          <w:szCs w:val="24"/>
        </w:rPr>
        <w:t xml:space="preserve"> and with the subtraction </w:t>
      </w:r>
      <w:r>
        <w:rPr>
          <w:bCs/>
          <w:sz w:val="24"/>
          <w:szCs w:val="24"/>
        </w:rPr>
        <w:t>and conversion of time from decimal values to hours and minutes.</w:t>
      </w:r>
      <w:r w:rsidRPr="00CC5B00">
        <w:rPr>
          <w:bCs/>
          <w:sz w:val="24"/>
          <w:szCs w:val="24"/>
        </w:rPr>
        <w:t xml:space="preserve"> </w:t>
      </w:r>
    </w:p>
    <w:p w14:paraId="2E191992" w14:textId="4E57E348" w:rsidR="001C6C2D" w:rsidRPr="003272FE" w:rsidRDefault="001C6C2D" w:rsidP="001C6C2D">
      <w:pPr>
        <w:pStyle w:val="BodyText"/>
        <w:rPr>
          <w:bCs/>
          <w:sz w:val="24"/>
          <w:szCs w:val="24"/>
        </w:rPr>
      </w:pPr>
      <w:r>
        <w:rPr>
          <w:bCs/>
          <w:sz w:val="24"/>
          <w:szCs w:val="24"/>
        </w:rPr>
        <w:t>Similarly,</w:t>
      </w:r>
      <w:r w:rsidR="003B05DF">
        <w:rPr>
          <w:bCs/>
          <w:sz w:val="24"/>
          <w:szCs w:val="24"/>
        </w:rPr>
        <w:t xml:space="preserve"> equivalences</w:t>
      </w:r>
      <w:r w:rsidRPr="003272FE">
        <w:rPr>
          <w:bCs/>
          <w:sz w:val="24"/>
          <w:szCs w:val="24"/>
        </w:rPr>
        <w:t xml:space="preserve"> between fractions, decimals and</w:t>
      </w:r>
      <w:r>
        <w:rPr>
          <w:bCs/>
          <w:sz w:val="24"/>
          <w:szCs w:val="24"/>
        </w:rPr>
        <w:t xml:space="preserve"> </w:t>
      </w:r>
      <w:r w:rsidRPr="003272FE">
        <w:rPr>
          <w:bCs/>
          <w:sz w:val="24"/>
          <w:szCs w:val="24"/>
        </w:rPr>
        <w:t>percentages often appears to be challenge</w:t>
      </w:r>
      <w:r>
        <w:rPr>
          <w:bCs/>
          <w:sz w:val="24"/>
          <w:szCs w:val="24"/>
        </w:rPr>
        <w:t>d</w:t>
      </w:r>
      <w:r w:rsidRPr="003272FE">
        <w:rPr>
          <w:bCs/>
          <w:sz w:val="24"/>
          <w:szCs w:val="24"/>
        </w:rPr>
        <w:t xml:space="preserve"> for many</w:t>
      </w:r>
      <w:r>
        <w:rPr>
          <w:bCs/>
          <w:sz w:val="24"/>
          <w:szCs w:val="24"/>
        </w:rPr>
        <w:t xml:space="preserve"> learners</w:t>
      </w:r>
      <w:r w:rsidRPr="003272FE">
        <w:rPr>
          <w:bCs/>
          <w:sz w:val="24"/>
          <w:szCs w:val="24"/>
        </w:rPr>
        <w:t>, particularly where it is evident that the learner</w:t>
      </w:r>
      <w:r>
        <w:rPr>
          <w:bCs/>
          <w:sz w:val="24"/>
          <w:szCs w:val="24"/>
        </w:rPr>
        <w:t>s</w:t>
      </w:r>
      <w:r w:rsidRPr="003272FE">
        <w:rPr>
          <w:bCs/>
          <w:sz w:val="24"/>
          <w:szCs w:val="24"/>
        </w:rPr>
        <w:t xml:space="preserve"> do not</w:t>
      </w:r>
      <w:r>
        <w:rPr>
          <w:bCs/>
          <w:sz w:val="24"/>
          <w:szCs w:val="24"/>
        </w:rPr>
        <w:t xml:space="preserve"> </w:t>
      </w:r>
      <w:r w:rsidRPr="003272FE">
        <w:rPr>
          <w:bCs/>
          <w:sz w:val="24"/>
          <w:szCs w:val="24"/>
        </w:rPr>
        <w:t>have a sound</w:t>
      </w:r>
      <w:r>
        <w:rPr>
          <w:bCs/>
          <w:sz w:val="24"/>
          <w:szCs w:val="24"/>
        </w:rPr>
        <w:t xml:space="preserve"> u</w:t>
      </w:r>
      <w:r w:rsidRPr="003272FE">
        <w:rPr>
          <w:bCs/>
          <w:sz w:val="24"/>
          <w:szCs w:val="24"/>
        </w:rPr>
        <w:t xml:space="preserve">nderstanding </w:t>
      </w:r>
      <w:r>
        <w:rPr>
          <w:bCs/>
          <w:sz w:val="24"/>
          <w:szCs w:val="24"/>
        </w:rPr>
        <w:t>of</w:t>
      </w:r>
      <w:r w:rsidR="003B05DF">
        <w:rPr>
          <w:bCs/>
          <w:sz w:val="24"/>
          <w:szCs w:val="24"/>
        </w:rPr>
        <w:t>,</w:t>
      </w:r>
      <w:r>
        <w:rPr>
          <w:bCs/>
          <w:sz w:val="24"/>
          <w:szCs w:val="24"/>
        </w:rPr>
        <w:t xml:space="preserve"> and the ability to</w:t>
      </w:r>
      <w:r w:rsidR="003B05DF">
        <w:rPr>
          <w:bCs/>
          <w:sz w:val="24"/>
          <w:szCs w:val="24"/>
        </w:rPr>
        <w:t>,</w:t>
      </w:r>
      <w:r>
        <w:rPr>
          <w:bCs/>
          <w:sz w:val="24"/>
          <w:szCs w:val="24"/>
        </w:rPr>
        <w:t xml:space="preserve"> apply </w:t>
      </w:r>
      <w:r w:rsidRPr="003272FE">
        <w:rPr>
          <w:bCs/>
          <w:sz w:val="24"/>
          <w:szCs w:val="24"/>
        </w:rPr>
        <w:t xml:space="preserve"> the underpinning skills.</w:t>
      </w:r>
    </w:p>
    <w:p w14:paraId="13F6C158" w14:textId="77777777" w:rsidR="001C6C2D" w:rsidRPr="003272FE" w:rsidRDefault="001C6C2D" w:rsidP="001C6C2D">
      <w:pPr>
        <w:pStyle w:val="BodyText"/>
        <w:rPr>
          <w:b/>
          <w:bCs/>
          <w:color w:val="00B4BC"/>
          <w:sz w:val="28"/>
          <w:szCs w:val="22"/>
        </w:rPr>
      </w:pPr>
    </w:p>
    <w:p w14:paraId="7C64157F" w14:textId="77777777" w:rsidR="001C6C2D" w:rsidRPr="0001095B" w:rsidRDefault="001C6C2D" w:rsidP="001C6C2D">
      <w:pPr>
        <w:pStyle w:val="BodyText"/>
        <w:rPr>
          <w:b/>
          <w:bCs/>
          <w:color w:val="00B4BC"/>
          <w:sz w:val="28"/>
          <w:szCs w:val="22"/>
        </w:rPr>
      </w:pPr>
    </w:p>
    <w:p w14:paraId="2699A2BF" w14:textId="77777777" w:rsidR="001C6C2D" w:rsidRDefault="001C6C2D" w:rsidP="001C6C2D">
      <w:pPr>
        <w:pStyle w:val="BodyText"/>
        <w:rPr>
          <w:b/>
          <w:bCs/>
          <w:color w:val="00B4BC"/>
          <w:sz w:val="28"/>
          <w:szCs w:val="22"/>
        </w:rPr>
      </w:pPr>
      <w:r w:rsidRPr="0001095B">
        <w:rPr>
          <w:b/>
          <w:bCs/>
          <w:color w:val="00B4BC"/>
          <w:sz w:val="28"/>
          <w:szCs w:val="22"/>
        </w:rPr>
        <w:t>Measure, Shape and Space</w:t>
      </w:r>
      <w:r>
        <w:rPr>
          <w:b/>
          <w:bCs/>
          <w:color w:val="00B4BC"/>
          <w:sz w:val="28"/>
          <w:szCs w:val="22"/>
        </w:rPr>
        <w:t>:</w:t>
      </w:r>
      <w:r w:rsidRPr="003272FE">
        <w:rPr>
          <w:b/>
          <w:bCs/>
          <w:color w:val="00B4BC"/>
          <w:sz w:val="28"/>
          <w:szCs w:val="22"/>
        </w:rPr>
        <w:t xml:space="preserve"> </w:t>
      </w:r>
    </w:p>
    <w:p w14:paraId="6F054BBB" w14:textId="77777777" w:rsidR="001C6C2D" w:rsidRDefault="001C6C2D" w:rsidP="001C6C2D">
      <w:pPr>
        <w:pStyle w:val="BodyText"/>
        <w:rPr>
          <w:b/>
          <w:bCs/>
          <w:color w:val="00B4BC"/>
          <w:sz w:val="28"/>
          <w:szCs w:val="22"/>
        </w:rPr>
      </w:pPr>
    </w:p>
    <w:p w14:paraId="393736AD" w14:textId="77777777" w:rsidR="001C6C2D" w:rsidRDefault="001C6C2D" w:rsidP="001C6C2D">
      <w:pPr>
        <w:pStyle w:val="BodyText"/>
        <w:rPr>
          <w:bCs/>
          <w:sz w:val="24"/>
          <w:szCs w:val="24"/>
        </w:rPr>
      </w:pPr>
      <w:r w:rsidRPr="003272FE">
        <w:rPr>
          <w:bCs/>
          <w:sz w:val="24"/>
          <w:szCs w:val="24"/>
        </w:rPr>
        <w:t xml:space="preserve">Practical problems with length, weight and capacity are often seen </w:t>
      </w:r>
      <w:r>
        <w:rPr>
          <w:bCs/>
          <w:sz w:val="24"/>
          <w:szCs w:val="24"/>
        </w:rPr>
        <w:t>as a problematic area for learners ,</w:t>
      </w:r>
      <w:r w:rsidRPr="003272FE">
        <w:rPr>
          <w:bCs/>
          <w:sz w:val="24"/>
          <w:szCs w:val="24"/>
        </w:rPr>
        <w:t>with incorrect metric conversions,</w:t>
      </w:r>
      <w:r>
        <w:rPr>
          <w:bCs/>
          <w:sz w:val="24"/>
          <w:szCs w:val="24"/>
        </w:rPr>
        <w:t xml:space="preserve"> i.e. use of 100 to convert from mm to m; </w:t>
      </w:r>
      <w:r w:rsidRPr="003272FE">
        <w:rPr>
          <w:bCs/>
          <w:sz w:val="24"/>
          <w:szCs w:val="24"/>
        </w:rPr>
        <w:t>inconsistent units or lack of familiarity in applying the appropriate approaches or methods to tackle the</w:t>
      </w:r>
      <w:r>
        <w:rPr>
          <w:bCs/>
          <w:sz w:val="24"/>
          <w:szCs w:val="24"/>
        </w:rPr>
        <w:t xml:space="preserve"> problem.</w:t>
      </w:r>
    </w:p>
    <w:p w14:paraId="16395A80" w14:textId="77777777" w:rsidR="001C6C2D" w:rsidRPr="003272FE" w:rsidRDefault="001C6C2D" w:rsidP="001C6C2D">
      <w:pPr>
        <w:pStyle w:val="BodyText"/>
        <w:rPr>
          <w:bCs/>
          <w:sz w:val="24"/>
          <w:szCs w:val="24"/>
        </w:rPr>
      </w:pPr>
      <w:r w:rsidRPr="003272FE">
        <w:rPr>
          <w:bCs/>
          <w:sz w:val="24"/>
          <w:szCs w:val="24"/>
        </w:rPr>
        <w:t>Converting within metric units and the necessit</w:t>
      </w:r>
      <w:r>
        <w:rPr>
          <w:bCs/>
          <w:sz w:val="24"/>
          <w:szCs w:val="24"/>
        </w:rPr>
        <w:t>y to work with consistent units</w:t>
      </w:r>
      <w:r w:rsidRPr="003272FE">
        <w:rPr>
          <w:bCs/>
          <w:sz w:val="24"/>
          <w:szCs w:val="24"/>
        </w:rPr>
        <w:t xml:space="preserve"> is a common area</w:t>
      </w:r>
      <w:r>
        <w:rPr>
          <w:bCs/>
          <w:sz w:val="24"/>
          <w:szCs w:val="24"/>
        </w:rPr>
        <w:t xml:space="preserve"> </w:t>
      </w:r>
      <w:r w:rsidRPr="003272FE">
        <w:rPr>
          <w:bCs/>
          <w:sz w:val="24"/>
          <w:szCs w:val="24"/>
        </w:rPr>
        <w:t>that requires development. Such errors can affect solving problems as well as calculating a correct area or</w:t>
      </w:r>
      <w:r>
        <w:rPr>
          <w:bCs/>
          <w:sz w:val="24"/>
          <w:szCs w:val="24"/>
        </w:rPr>
        <w:t xml:space="preserve"> perimeter, skills that are often completed incorrectly and regularly muddled up by learners</w:t>
      </w:r>
      <w:r>
        <w:rPr>
          <w:b/>
          <w:bCs/>
          <w:color w:val="00B4BC"/>
          <w:sz w:val="28"/>
          <w:szCs w:val="22"/>
        </w:rPr>
        <w:t xml:space="preserve"> </w:t>
      </w:r>
      <w:r>
        <w:rPr>
          <w:bCs/>
          <w:sz w:val="24"/>
          <w:szCs w:val="24"/>
        </w:rPr>
        <w:t>with perimeter c</w:t>
      </w:r>
      <w:r w:rsidRPr="003272FE">
        <w:rPr>
          <w:bCs/>
          <w:sz w:val="24"/>
          <w:szCs w:val="24"/>
        </w:rPr>
        <w:t>alculation</w:t>
      </w:r>
      <w:r>
        <w:rPr>
          <w:bCs/>
          <w:sz w:val="24"/>
          <w:szCs w:val="24"/>
        </w:rPr>
        <w:t xml:space="preserve">s for an area task and </w:t>
      </w:r>
      <w:r w:rsidRPr="003272FE">
        <w:rPr>
          <w:bCs/>
          <w:sz w:val="24"/>
          <w:szCs w:val="24"/>
        </w:rPr>
        <w:t>area calculation</w:t>
      </w:r>
      <w:r>
        <w:rPr>
          <w:bCs/>
          <w:sz w:val="24"/>
          <w:szCs w:val="24"/>
        </w:rPr>
        <w:t>s</w:t>
      </w:r>
      <w:r w:rsidRPr="003272FE">
        <w:rPr>
          <w:bCs/>
          <w:sz w:val="24"/>
          <w:szCs w:val="24"/>
        </w:rPr>
        <w:t xml:space="preserve"> for a perimeter task.</w:t>
      </w:r>
    </w:p>
    <w:p w14:paraId="31519733" w14:textId="77777777" w:rsidR="001C6C2D" w:rsidRPr="0001095B" w:rsidRDefault="001C6C2D" w:rsidP="001C6C2D">
      <w:pPr>
        <w:pStyle w:val="BodyText"/>
        <w:rPr>
          <w:b/>
          <w:bCs/>
          <w:color w:val="00B4BC"/>
          <w:sz w:val="28"/>
          <w:szCs w:val="22"/>
        </w:rPr>
      </w:pPr>
    </w:p>
    <w:p w14:paraId="222249EF" w14:textId="77777777" w:rsidR="001C6C2D" w:rsidRDefault="001C6C2D" w:rsidP="001C6C2D">
      <w:pPr>
        <w:pStyle w:val="BodyText"/>
        <w:rPr>
          <w:b/>
          <w:bCs/>
          <w:color w:val="00B4BC"/>
          <w:sz w:val="28"/>
          <w:szCs w:val="22"/>
        </w:rPr>
      </w:pPr>
      <w:r w:rsidRPr="0001095B">
        <w:rPr>
          <w:b/>
          <w:bCs/>
          <w:color w:val="00B4BC"/>
          <w:sz w:val="28"/>
          <w:szCs w:val="22"/>
        </w:rPr>
        <w:t>Handling Data</w:t>
      </w:r>
      <w:r>
        <w:rPr>
          <w:b/>
          <w:bCs/>
          <w:color w:val="00B4BC"/>
          <w:sz w:val="28"/>
          <w:szCs w:val="22"/>
        </w:rPr>
        <w:t>:</w:t>
      </w:r>
    </w:p>
    <w:p w14:paraId="187B1777" w14:textId="77777777" w:rsidR="001C6C2D" w:rsidRPr="003272FE" w:rsidRDefault="001C6C2D" w:rsidP="001C6C2D">
      <w:pPr>
        <w:pStyle w:val="BodyText"/>
        <w:rPr>
          <w:bCs/>
          <w:sz w:val="24"/>
          <w:szCs w:val="24"/>
        </w:rPr>
      </w:pPr>
    </w:p>
    <w:p w14:paraId="453FE834" w14:textId="1CB730E0" w:rsidR="001C6C2D" w:rsidRPr="003272FE" w:rsidRDefault="001C6C2D" w:rsidP="001C6C2D">
      <w:pPr>
        <w:pStyle w:val="BodyText"/>
        <w:rPr>
          <w:bCs/>
          <w:sz w:val="24"/>
          <w:szCs w:val="24"/>
        </w:rPr>
      </w:pPr>
      <w:r>
        <w:rPr>
          <w:bCs/>
          <w:sz w:val="24"/>
          <w:szCs w:val="24"/>
        </w:rPr>
        <w:t>In the area of handling data some learners seem to find difficulty with evidencing a probability of an outcome as a numerical response, i.e. as a percentage, fraction or decimal. It is often represented by likely or unlikely</w:t>
      </w:r>
      <w:r w:rsidR="003B05DF">
        <w:rPr>
          <w:bCs/>
          <w:sz w:val="24"/>
          <w:szCs w:val="24"/>
        </w:rPr>
        <w:t>,</w:t>
      </w:r>
      <w:r>
        <w:rPr>
          <w:bCs/>
          <w:sz w:val="24"/>
          <w:szCs w:val="24"/>
        </w:rPr>
        <w:t xml:space="preserve"> and learners need to be taught to show this as a mathematical response.</w:t>
      </w:r>
    </w:p>
    <w:p w14:paraId="3FBBE0AB" w14:textId="77777777" w:rsidR="001C6C2D" w:rsidRPr="003272FE" w:rsidRDefault="001C6C2D" w:rsidP="001C6C2D">
      <w:pPr>
        <w:pStyle w:val="BodyText"/>
        <w:rPr>
          <w:bCs/>
          <w:sz w:val="24"/>
          <w:szCs w:val="24"/>
        </w:rPr>
      </w:pPr>
      <w:r w:rsidRPr="003272FE">
        <w:rPr>
          <w:bCs/>
          <w:sz w:val="24"/>
          <w:szCs w:val="24"/>
        </w:rPr>
        <w:t xml:space="preserve">The identification of information from tables and graphs involving whole numbers </w:t>
      </w:r>
      <w:r>
        <w:rPr>
          <w:bCs/>
          <w:sz w:val="24"/>
          <w:szCs w:val="24"/>
        </w:rPr>
        <w:t xml:space="preserve">is </w:t>
      </w:r>
      <w:r w:rsidRPr="003272FE">
        <w:rPr>
          <w:bCs/>
          <w:sz w:val="24"/>
          <w:szCs w:val="24"/>
        </w:rPr>
        <w:t xml:space="preserve">generally </w:t>
      </w:r>
      <w:r>
        <w:rPr>
          <w:bCs/>
          <w:sz w:val="24"/>
          <w:szCs w:val="24"/>
        </w:rPr>
        <w:t xml:space="preserve">completed well by learners but there is evidence to show that completion of simple </w:t>
      </w:r>
      <w:r w:rsidRPr="003272FE">
        <w:rPr>
          <w:bCs/>
          <w:sz w:val="24"/>
          <w:szCs w:val="24"/>
        </w:rPr>
        <w:t>pie charts and graphs</w:t>
      </w:r>
      <w:r>
        <w:rPr>
          <w:bCs/>
          <w:sz w:val="24"/>
          <w:szCs w:val="24"/>
        </w:rPr>
        <w:t xml:space="preserve">, </w:t>
      </w:r>
      <w:r w:rsidRPr="003272FE">
        <w:rPr>
          <w:bCs/>
          <w:sz w:val="24"/>
          <w:szCs w:val="24"/>
        </w:rPr>
        <w:t>especially in the label</w:t>
      </w:r>
      <w:r>
        <w:rPr>
          <w:bCs/>
          <w:sz w:val="24"/>
          <w:szCs w:val="24"/>
        </w:rPr>
        <w:t>l</w:t>
      </w:r>
      <w:r w:rsidRPr="003272FE">
        <w:rPr>
          <w:bCs/>
          <w:sz w:val="24"/>
          <w:szCs w:val="24"/>
        </w:rPr>
        <w:t>ing and completion of a s</w:t>
      </w:r>
      <w:r>
        <w:rPr>
          <w:bCs/>
          <w:sz w:val="24"/>
          <w:szCs w:val="24"/>
        </w:rPr>
        <w:t>cale on an axis when requested, can be problematic for some learners.</w:t>
      </w:r>
    </w:p>
    <w:p w14:paraId="25A6C86E" w14:textId="77777777" w:rsidR="001C6C2D" w:rsidRDefault="001C6C2D" w:rsidP="001C6C2D">
      <w:pPr>
        <w:rPr>
          <w:rFonts w:cs="Arial"/>
          <w:bCs/>
          <w:szCs w:val="22"/>
        </w:rPr>
      </w:pPr>
    </w:p>
    <w:p w14:paraId="0A63E24E" w14:textId="77777777" w:rsidR="001C6C2D" w:rsidRPr="004A4796" w:rsidRDefault="001C6C2D" w:rsidP="001C6C2D">
      <w:pPr>
        <w:rPr>
          <w:rFonts w:cs="Arial"/>
          <w:bCs/>
          <w:szCs w:val="22"/>
        </w:rPr>
      </w:pPr>
    </w:p>
    <w:p w14:paraId="34ED829C" w14:textId="77777777" w:rsidR="001C6C2D" w:rsidRDefault="001C6C2D" w:rsidP="001C6C2D">
      <w:pPr>
        <w:pStyle w:val="BodyText"/>
        <w:rPr>
          <w:b/>
          <w:bCs/>
          <w:sz w:val="22"/>
          <w:szCs w:val="22"/>
        </w:rPr>
      </w:pPr>
    </w:p>
    <w:p w14:paraId="16B85DF6" w14:textId="77777777" w:rsidR="001C6C2D" w:rsidRDefault="001C6C2D" w:rsidP="001C6C2D">
      <w:pPr>
        <w:pStyle w:val="BodyText"/>
        <w:rPr>
          <w:b/>
          <w:bCs/>
          <w:color w:val="00B4BC"/>
          <w:sz w:val="28"/>
          <w:szCs w:val="22"/>
        </w:rPr>
      </w:pPr>
      <w:r w:rsidRPr="00C860A6">
        <w:rPr>
          <w:b/>
          <w:bCs/>
          <w:color w:val="00B4BC"/>
          <w:sz w:val="28"/>
          <w:szCs w:val="22"/>
        </w:rPr>
        <w:lastRenderedPageBreak/>
        <w:t>Level 2</w:t>
      </w:r>
      <w:r>
        <w:rPr>
          <w:b/>
          <w:bCs/>
          <w:color w:val="00B4BC"/>
          <w:sz w:val="28"/>
          <w:szCs w:val="22"/>
        </w:rPr>
        <w:t xml:space="preserve"> </w:t>
      </w:r>
    </w:p>
    <w:p w14:paraId="39F95E31" w14:textId="77777777" w:rsidR="001C6C2D" w:rsidRPr="00C860A6" w:rsidRDefault="001C6C2D" w:rsidP="001C6C2D">
      <w:pPr>
        <w:pStyle w:val="BodyText"/>
        <w:rPr>
          <w:b/>
          <w:bCs/>
          <w:color w:val="00B4BC"/>
          <w:sz w:val="28"/>
          <w:szCs w:val="22"/>
        </w:rPr>
      </w:pPr>
    </w:p>
    <w:p w14:paraId="2E9F3DA4" w14:textId="77777777" w:rsidR="001C6C2D" w:rsidRDefault="001C6C2D" w:rsidP="001C6C2D">
      <w:pPr>
        <w:pStyle w:val="BodyText"/>
        <w:rPr>
          <w:bCs/>
          <w:sz w:val="22"/>
          <w:szCs w:val="22"/>
        </w:rPr>
      </w:pPr>
    </w:p>
    <w:p w14:paraId="2E0C8D21" w14:textId="77777777" w:rsidR="001C6C2D" w:rsidRDefault="001C6C2D" w:rsidP="001C6C2D">
      <w:pPr>
        <w:pStyle w:val="BodyText"/>
        <w:rPr>
          <w:b/>
          <w:bCs/>
          <w:color w:val="00B4BC"/>
          <w:sz w:val="28"/>
          <w:szCs w:val="22"/>
        </w:rPr>
      </w:pPr>
      <w:r>
        <w:rPr>
          <w:b/>
          <w:bCs/>
          <w:color w:val="00B4BC"/>
          <w:sz w:val="28"/>
          <w:szCs w:val="22"/>
        </w:rPr>
        <w:t>Number:</w:t>
      </w:r>
    </w:p>
    <w:p w14:paraId="328EE895" w14:textId="77777777" w:rsidR="001C6C2D" w:rsidRDefault="001C6C2D" w:rsidP="001C6C2D">
      <w:pPr>
        <w:pStyle w:val="BodyText"/>
        <w:rPr>
          <w:b/>
          <w:bCs/>
          <w:color w:val="00B4BC"/>
          <w:sz w:val="28"/>
          <w:szCs w:val="22"/>
        </w:rPr>
      </w:pPr>
    </w:p>
    <w:p w14:paraId="2F7D5B72" w14:textId="555256F0" w:rsidR="001C6C2D" w:rsidRDefault="001C6C2D" w:rsidP="001C6C2D">
      <w:pPr>
        <w:pStyle w:val="BodyText"/>
        <w:rPr>
          <w:b/>
          <w:bCs/>
          <w:color w:val="00B4BC"/>
          <w:sz w:val="28"/>
          <w:szCs w:val="22"/>
        </w:rPr>
      </w:pPr>
      <w:r w:rsidRPr="007964B2">
        <w:rPr>
          <w:bCs/>
          <w:sz w:val="24"/>
          <w:szCs w:val="24"/>
        </w:rPr>
        <w:t>A</w:t>
      </w:r>
      <w:r>
        <w:rPr>
          <w:bCs/>
          <w:sz w:val="24"/>
          <w:szCs w:val="24"/>
        </w:rPr>
        <w:t xml:space="preserve">t this level learners tended to </w:t>
      </w:r>
      <w:r w:rsidRPr="007964B2">
        <w:rPr>
          <w:bCs/>
          <w:sz w:val="24"/>
          <w:szCs w:val="24"/>
        </w:rPr>
        <w:t>demonstrate good skil</w:t>
      </w:r>
      <w:r>
        <w:rPr>
          <w:bCs/>
          <w:sz w:val="24"/>
          <w:szCs w:val="24"/>
        </w:rPr>
        <w:t>ls in the</w:t>
      </w:r>
      <w:r w:rsidR="00427570">
        <w:rPr>
          <w:bCs/>
          <w:sz w:val="24"/>
          <w:szCs w:val="24"/>
        </w:rPr>
        <w:t xml:space="preserve"> use of the four operations</w:t>
      </w:r>
      <w:bookmarkStart w:id="0" w:name="_GoBack"/>
      <w:bookmarkEnd w:id="0"/>
      <w:r w:rsidRPr="007964B2">
        <w:rPr>
          <w:bCs/>
          <w:sz w:val="24"/>
          <w:szCs w:val="24"/>
        </w:rPr>
        <w:t xml:space="preserve"> </w:t>
      </w:r>
      <w:r>
        <w:rPr>
          <w:bCs/>
          <w:sz w:val="24"/>
          <w:szCs w:val="24"/>
        </w:rPr>
        <w:t xml:space="preserve">and were able to apply these to a range of tasks. Working with larger numbers was generally undertaken competently although in some cases errors were seen that may be the result of incorrect input to a calculator as working appeared to support a good understanding of the task requirements but final answers were incorrect. </w:t>
      </w:r>
    </w:p>
    <w:p w14:paraId="7729EA8B" w14:textId="77777777" w:rsidR="001C6C2D" w:rsidRPr="003272FE" w:rsidRDefault="001C6C2D" w:rsidP="001C6C2D">
      <w:pPr>
        <w:pStyle w:val="BodyText"/>
        <w:rPr>
          <w:bCs/>
          <w:sz w:val="24"/>
          <w:szCs w:val="24"/>
        </w:rPr>
      </w:pPr>
      <w:r>
        <w:rPr>
          <w:bCs/>
          <w:sz w:val="24"/>
          <w:szCs w:val="24"/>
        </w:rPr>
        <w:t xml:space="preserve">Evidence has also been seen to </w:t>
      </w:r>
      <w:r w:rsidRPr="003272FE">
        <w:rPr>
          <w:bCs/>
          <w:sz w:val="24"/>
          <w:szCs w:val="24"/>
        </w:rPr>
        <w:t xml:space="preserve">indicate that further practice for learners preparing for assessment </w:t>
      </w:r>
      <w:r>
        <w:rPr>
          <w:bCs/>
          <w:sz w:val="24"/>
          <w:szCs w:val="24"/>
        </w:rPr>
        <w:t xml:space="preserve">in the use of fractions and percentages </w:t>
      </w:r>
      <w:r w:rsidRPr="003272FE">
        <w:rPr>
          <w:bCs/>
          <w:sz w:val="24"/>
          <w:szCs w:val="24"/>
        </w:rPr>
        <w:t>would be</w:t>
      </w:r>
      <w:r>
        <w:rPr>
          <w:bCs/>
          <w:sz w:val="24"/>
          <w:szCs w:val="24"/>
        </w:rPr>
        <w:t xml:space="preserve"> of benefit, especially calculating reverse percentages, i.e. finding the original value when given a discounted or increased value.</w:t>
      </w:r>
    </w:p>
    <w:p w14:paraId="1E17D74D" w14:textId="77777777" w:rsidR="001C6C2D" w:rsidRDefault="001C6C2D" w:rsidP="001C6C2D">
      <w:pPr>
        <w:pStyle w:val="BodyText"/>
        <w:rPr>
          <w:b/>
          <w:bCs/>
          <w:color w:val="00B4BC"/>
          <w:sz w:val="28"/>
          <w:szCs w:val="22"/>
        </w:rPr>
      </w:pPr>
    </w:p>
    <w:p w14:paraId="13AB61BE" w14:textId="77777777" w:rsidR="001C6C2D" w:rsidRDefault="001C6C2D" w:rsidP="001C6C2D">
      <w:pPr>
        <w:pStyle w:val="BodyText"/>
        <w:rPr>
          <w:b/>
          <w:bCs/>
          <w:color w:val="00B4BC"/>
          <w:sz w:val="28"/>
          <w:szCs w:val="22"/>
        </w:rPr>
      </w:pPr>
      <w:r>
        <w:rPr>
          <w:b/>
          <w:bCs/>
          <w:color w:val="00B4BC"/>
          <w:sz w:val="28"/>
          <w:szCs w:val="22"/>
        </w:rPr>
        <w:t>Measure, Shape and Space:</w:t>
      </w:r>
    </w:p>
    <w:p w14:paraId="30D1756A" w14:textId="77777777" w:rsidR="001C6C2D" w:rsidRDefault="001C6C2D" w:rsidP="001C6C2D">
      <w:pPr>
        <w:pStyle w:val="BodyText"/>
        <w:rPr>
          <w:bCs/>
          <w:sz w:val="24"/>
          <w:szCs w:val="24"/>
        </w:rPr>
      </w:pPr>
    </w:p>
    <w:p w14:paraId="6E92309B" w14:textId="77777777" w:rsidR="001C6C2D" w:rsidRDefault="001C6C2D" w:rsidP="001C6C2D">
      <w:pPr>
        <w:pStyle w:val="BodyText"/>
        <w:rPr>
          <w:bCs/>
          <w:sz w:val="24"/>
          <w:szCs w:val="24"/>
        </w:rPr>
      </w:pPr>
      <w:r>
        <w:rPr>
          <w:bCs/>
          <w:sz w:val="24"/>
          <w:szCs w:val="24"/>
        </w:rPr>
        <w:t>It has been evident that some learners still tend to be</w:t>
      </w:r>
      <w:r w:rsidRPr="00705333">
        <w:rPr>
          <w:bCs/>
          <w:sz w:val="24"/>
          <w:szCs w:val="24"/>
        </w:rPr>
        <w:t xml:space="preserve"> careless with units – either omitting them or</w:t>
      </w:r>
      <w:r>
        <w:rPr>
          <w:bCs/>
          <w:sz w:val="24"/>
          <w:szCs w:val="24"/>
        </w:rPr>
        <w:t xml:space="preserve"> </w:t>
      </w:r>
      <w:r w:rsidRPr="00705333">
        <w:rPr>
          <w:bCs/>
          <w:sz w:val="24"/>
          <w:szCs w:val="24"/>
        </w:rPr>
        <w:t>performing incorrect conversions</w:t>
      </w:r>
      <w:r>
        <w:rPr>
          <w:bCs/>
          <w:sz w:val="24"/>
          <w:szCs w:val="24"/>
        </w:rPr>
        <w:t xml:space="preserve"> between different metric units.</w:t>
      </w:r>
      <w:r w:rsidRPr="00705333">
        <w:rPr>
          <w:bCs/>
          <w:sz w:val="24"/>
          <w:szCs w:val="24"/>
        </w:rPr>
        <w:t xml:space="preserve"> Examples of such</w:t>
      </w:r>
      <w:r>
        <w:rPr>
          <w:bCs/>
          <w:sz w:val="24"/>
          <w:szCs w:val="24"/>
        </w:rPr>
        <w:t xml:space="preserve"> </w:t>
      </w:r>
      <w:r w:rsidRPr="00705333">
        <w:rPr>
          <w:bCs/>
          <w:sz w:val="24"/>
          <w:szCs w:val="24"/>
        </w:rPr>
        <w:t>misconceptions include 100 metres being equivalent to a kilometre and a li</w:t>
      </w:r>
      <w:r>
        <w:rPr>
          <w:bCs/>
          <w:sz w:val="24"/>
          <w:szCs w:val="24"/>
        </w:rPr>
        <w:t>tre is equal to 100 millilitres, particularly more so in the use of compound 2D and 3D shapes. There have also been errors in the conversion between metric and imperial units.</w:t>
      </w:r>
      <w:r w:rsidRPr="00705333">
        <w:rPr>
          <w:bCs/>
          <w:sz w:val="24"/>
          <w:szCs w:val="24"/>
        </w:rPr>
        <w:t xml:space="preserve"> </w:t>
      </w:r>
    </w:p>
    <w:p w14:paraId="795FA6FC" w14:textId="17A987C3" w:rsidR="001C6C2D" w:rsidRDefault="001C6C2D" w:rsidP="001C6C2D">
      <w:pPr>
        <w:pStyle w:val="BodyText"/>
        <w:rPr>
          <w:bCs/>
          <w:sz w:val="24"/>
          <w:szCs w:val="24"/>
        </w:rPr>
      </w:pPr>
      <w:r>
        <w:rPr>
          <w:bCs/>
          <w:sz w:val="24"/>
          <w:szCs w:val="24"/>
        </w:rPr>
        <w:t xml:space="preserve">There has been evidence of learners confusing calculations for area and volume of 3d shapes and </w:t>
      </w:r>
      <w:r w:rsidR="003B05DF">
        <w:rPr>
          <w:bCs/>
          <w:sz w:val="24"/>
          <w:szCs w:val="24"/>
        </w:rPr>
        <w:t xml:space="preserve">this </w:t>
      </w:r>
      <w:r>
        <w:rPr>
          <w:bCs/>
          <w:sz w:val="24"/>
          <w:szCs w:val="24"/>
        </w:rPr>
        <w:t xml:space="preserve">has occasionally </w:t>
      </w:r>
      <w:r w:rsidRPr="00705333">
        <w:rPr>
          <w:bCs/>
          <w:sz w:val="24"/>
          <w:szCs w:val="24"/>
        </w:rPr>
        <w:t>ma</w:t>
      </w:r>
      <w:r>
        <w:rPr>
          <w:bCs/>
          <w:sz w:val="24"/>
          <w:szCs w:val="24"/>
        </w:rPr>
        <w:t xml:space="preserve">nifested itself in the area of </w:t>
      </w:r>
      <w:r w:rsidRPr="00705333">
        <w:rPr>
          <w:bCs/>
          <w:sz w:val="24"/>
          <w:szCs w:val="24"/>
        </w:rPr>
        <w:t xml:space="preserve">compound shapes being calculated as the product of three lengths. </w:t>
      </w:r>
    </w:p>
    <w:p w14:paraId="65961B57" w14:textId="77777777" w:rsidR="001C6C2D" w:rsidRDefault="001C6C2D" w:rsidP="001C6C2D">
      <w:pPr>
        <w:pStyle w:val="BodyText"/>
        <w:rPr>
          <w:b/>
          <w:bCs/>
          <w:color w:val="00B4BC"/>
          <w:sz w:val="28"/>
          <w:szCs w:val="22"/>
        </w:rPr>
      </w:pPr>
    </w:p>
    <w:p w14:paraId="4AA3B3F1" w14:textId="77777777" w:rsidR="001C6C2D" w:rsidRDefault="001C6C2D" w:rsidP="001C6C2D">
      <w:pPr>
        <w:pStyle w:val="BodyText"/>
        <w:rPr>
          <w:b/>
          <w:bCs/>
          <w:color w:val="00B4BC"/>
          <w:sz w:val="28"/>
          <w:szCs w:val="22"/>
        </w:rPr>
      </w:pPr>
      <w:r>
        <w:rPr>
          <w:b/>
          <w:bCs/>
          <w:color w:val="00B4BC"/>
          <w:sz w:val="28"/>
          <w:szCs w:val="22"/>
        </w:rPr>
        <w:t>Handling Data</w:t>
      </w:r>
    </w:p>
    <w:p w14:paraId="053B0E81" w14:textId="77777777" w:rsidR="001C6C2D" w:rsidRDefault="001C6C2D" w:rsidP="001C6C2D">
      <w:pPr>
        <w:pStyle w:val="BodyText"/>
        <w:rPr>
          <w:b/>
          <w:bCs/>
          <w:color w:val="00B4BC"/>
          <w:sz w:val="28"/>
          <w:szCs w:val="22"/>
        </w:rPr>
      </w:pPr>
    </w:p>
    <w:p w14:paraId="45A81832" w14:textId="5DCA083F" w:rsidR="001C6C2D" w:rsidRDefault="001C6C2D" w:rsidP="001C6C2D">
      <w:pPr>
        <w:pStyle w:val="BodyText"/>
        <w:rPr>
          <w:bCs/>
          <w:sz w:val="24"/>
          <w:szCs w:val="24"/>
        </w:rPr>
      </w:pPr>
      <w:r w:rsidRPr="00EB6BE8">
        <w:rPr>
          <w:bCs/>
          <w:sz w:val="24"/>
          <w:szCs w:val="24"/>
        </w:rPr>
        <w:t>Learners have made errors in calculatio</w:t>
      </w:r>
      <w:r>
        <w:rPr>
          <w:bCs/>
          <w:sz w:val="24"/>
          <w:szCs w:val="24"/>
        </w:rPr>
        <w:t>ns involving the use of averages with mean, median</w:t>
      </w:r>
      <w:r w:rsidR="003B05DF">
        <w:rPr>
          <w:bCs/>
          <w:sz w:val="24"/>
          <w:szCs w:val="24"/>
        </w:rPr>
        <w:t>,</w:t>
      </w:r>
      <w:r>
        <w:rPr>
          <w:bCs/>
          <w:sz w:val="24"/>
          <w:szCs w:val="24"/>
        </w:rPr>
        <w:t xml:space="preserve"> mode and range often being incorrectly calculated, especially involving data sets that may have zeros in them. Learners have generally calculated this without recognizing that zero is a value for this purpose.</w:t>
      </w:r>
    </w:p>
    <w:p w14:paraId="5CB50BE1" w14:textId="77777777" w:rsidR="001C6C2D" w:rsidRPr="00EB6BE8" w:rsidRDefault="001C6C2D" w:rsidP="001C6C2D">
      <w:pPr>
        <w:pStyle w:val="BodyText"/>
        <w:rPr>
          <w:bCs/>
          <w:color w:val="00B4BC"/>
          <w:sz w:val="24"/>
          <w:szCs w:val="24"/>
        </w:rPr>
      </w:pPr>
    </w:p>
    <w:p w14:paraId="2895AF26" w14:textId="77777777" w:rsidR="001C6C2D" w:rsidRDefault="001C6C2D" w:rsidP="001C6C2D">
      <w:pPr>
        <w:pStyle w:val="BodyText"/>
        <w:rPr>
          <w:b/>
          <w:bCs/>
          <w:sz w:val="22"/>
          <w:szCs w:val="22"/>
        </w:rPr>
      </w:pPr>
    </w:p>
    <w:p w14:paraId="116D1AAD" w14:textId="77777777" w:rsidR="001C6C2D" w:rsidRDefault="001C6C2D" w:rsidP="001C6C2D">
      <w:pPr>
        <w:pStyle w:val="BodyText"/>
        <w:rPr>
          <w:b/>
          <w:bCs/>
          <w:color w:val="00B4BC"/>
          <w:sz w:val="28"/>
          <w:szCs w:val="22"/>
        </w:rPr>
      </w:pPr>
      <w:r w:rsidRPr="00C860A6">
        <w:rPr>
          <w:b/>
          <w:bCs/>
          <w:color w:val="00B4BC"/>
          <w:sz w:val="28"/>
          <w:szCs w:val="22"/>
        </w:rPr>
        <w:t>Generic Overview</w:t>
      </w:r>
      <w:r>
        <w:rPr>
          <w:b/>
          <w:bCs/>
          <w:color w:val="00B4BC"/>
          <w:sz w:val="28"/>
          <w:szCs w:val="22"/>
        </w:rPr>
        <w:t xml:space="preserve"> Level 1 &amp; Level 2</w:t>
      </w:r>
      <w:r w:rsidRPr="00C860A6">
        <w:rPr>
          <w:b/>
          <w:bCs/>
          <w:color w:val="00B4BC"/>
          <w:sz w:val="28"/>
          <w:szCs w:val="22"/>
        </w:rPr>
        <w:t>:</w:t>
      </w:r>
    </w:p>
    <w:p w14:paraId="21A51878" w14:textId="77777777" w:rsidR="001C6C2D" w:rsidRDefault="001C6C2D" w:rsidP="001C6C2D">
      <w:pPr>
        <w:pStyle w:val="BodyText"/>
        <w:rPr>
          <w:b/>
          <w:bCs/>
          <w:color w:val="00B4BC"/>
          <w:sz w:val="28"/>
          <w:szCs w:val="22"/>
        </w:rPr>
      </w:pPr>
    </w:p>
    <w:p w14:paraId="55A88138" w14:textId="2EC1F1E6" w:rsidR="001C6C2D" w:rsidRDefault="001C6C2D" w:rsidP="001C6C2D">
      <w:pPr>
        <w:pStyle w:val="BodyText"/>
        <w:rPr>
          <w:bCs/>
          <w:sz w:val="24"/>
          <w:szCs w:val="24"/>
        </w:rPr>
      </w:pPr>
      <w:r w:rsidRPr="00E159B5">
        <w:rPr>
          <w:bCs/>
          <w:color w:val="000000" w:themeColor="text1"/>
          <w:sz w:val="24"/>
          <w:szCs w:val="24"/>
        </w:rPr>
        <w:t xml:space="preserve">Learners </w:t>
      </w:r>
      <w:r>
        <w:rPr>
          <w:bCs/>
          <w:color w:val="000000" w:themeColor="text1"/>
          <w:sz w:val="24"/>
          <w:szCs w:val="24"/>
        </w:rPr>
        <w:t xml:space="preserve">should </w:t>
      </w:r>
      <w:r w:rsidRPr="00E159B5">
        <w:rPr>
          <w:bCs/>
          <w:color w:val="000000" w:themeColor="text1"/>
          <w:sz w:val="24"/>
          <w:szCs w:val="24"/>
        </w:rPr>
        <w:t>be adequately prepared prior to being entered for an a</w:t>
      </w:r>
      <w:r>
        <w:rPr>
          <w:bCs/>
          <w:color w:val="000000" w:themeColor="text1"/>
          <w:sz w:val="24"/>
          <w:szCs w:val="24"/>
        </w:rPr>
        <w:t xml:space="preserve">ssessment. Several </w:t>
      </w:r>
      <w:r w:rsidRPr="00E159B5">
        <w:rPr>
          <w:bCs/>
          <w:color w:val="000000" w:themeColor="text1"/>
          <w:sz w:val="24"/>
          <w:szCs w:val="24"/>
        </w:rPr>
        <w:t xml:space="preserve"> examples </w:t>
      </w:r>
      <w:r>
        <w:rPr>
          <w:bCs/>
          <w:color w:val="000000" w:themeColor="text1"/>
          <w:sz w:val="24"/>
          <w:szCs w:val="24"/>
        </w:rPr>
        <w:t>have been noted</w:t>
      </w:r>
      <w:r w:rsidRPr="00E159B5">
        <w:rPr>
          <w:bCs/>
          <w:color w:val="000000" w:themeColor="text1"/>
          <w:sz w:val="24"/>
          <w:szCs w:val="24"/>
        </w:rPr>
        <w:t xml:space="preserve"> where learners were evidently not at the level being assessed, with some very low marks being awarded</w:t>
      </w:r>
      <w:r>
        <w:rPr>
          <w:bCs/>
          <w:color w:val="000000" w:themeColor="text1"/>
          <w:sz w:val="24"/>
          <w:szCs w:val="24"/>
        </w:rPr>
        <w:t>,</w:t>
      </w:r>
      <w:r w:rsidRPr="00E159B5">
        <w:rPr>
          <w:bCs/>
          <w:color w:val="000000" w:themeColor="text1"/>
          <w:sz w:val="24"/>
          <w:szCs w:val="24"/>
        </w:rPr>
        <w:t xml:space="preserve"> and </w:t>
      </w:r>
      <w:r>
        <w:rPr>
          <w:bCs/>
          <w:color w:val="000000" w:themeColor="text1"/>
          <w:sz w:val="24"/>
          <w:szCs w:val="24"/>
        </w:rPr>
        <w:t xml:space="preserve">in some assessments no calculations/responses were </w:t>
      </w:r>
      <w:r w:rsidRPr="00E159B5">
        <w:rPr>
          <w:bCs/>
          <w:color w:val="000000" w:themeColor="text1"/>
          <w:sz w:val="24"/>
          <w:szCs w:val="24"/>
        </w:rPr>
        <w:t xml:space="preserve"> seen that justified any marks at all across the whole assessment.</w:t>
      </w:r>
      <w:r w:rsidRPr="00FD3429">
        <w:rPr>
          <w:bCs/>
          <w:sz w:val="24"/>
          <w:szCs w:val="24"/>
        </w:rPr>
        <w:t xml:space="preserve"> </w:t>
      </w:r>
      <w:r>
        <w:rPr>
          <w:bCs/>
          <w:color w:val="000000" w:themeColor="text1"/>
          <w:sz w:val="24"/>
          <w:szCs w:val="24"/>
        </w:rPr>
        <w:t xml:space="preserve">It is advisable that all learners undertake an </w:t>
      </w:r>
      <w:r w:rsidRPr="00E159B5">
        <w:rPr>
          <w:bCs/>
          <w:color w:val="000000" w:themeColor="text1"/>
          <w:sz w:val="24"/>
          <w:szCs w:val="24"/>
        </w:rPr>
        <w:t xml:space="preserve">initial/diagnostic </w:t>
      </w:r>
      <w:r>
        <w:rPr>
          <w:bCs/>
          <w:color w:val="000000" w:themeColor="text1"/>
          <w:sz w:val="24"/>
          <w:szCs w:val="24"/>
        </w:rPr>
        <w:t>assessment prior to being entered for any assessment</w:t>
      </w:r>
      <w:r w:rsidRPr="00E159B5">
        <w:rPr>
          <w:bCs/>
          <w:color w:val="000000" w:themeColor="text1"/>
          <w:sz w:val="24"/>
          <w:szCs w:val="24"/>
        </w:rPr>
        <w:t>, so that all learners can be entered onto the correct level.</w:t>
      </w:r>
      <w:r>
        <w:rPr>
          <w:bCs/>
          <w:color w:val="000000" w:themeColor="text1"/>
          <w:sz w:val="24"/>
          <w:szCs w:val="24"/>
        </w:rPr>
        <w:t xml:space="preserve"> This</w:t>
      </w:r>
      <w:r w:rsidR="003B05DF">
        <w:rPr>
          <w:bCs/>
          <w:color w:val="000000" w:themeColor="text1"/>
          <w:sz w:val="24"/>
          <w:szCs w:val="24"/>
        </w:rPr>
        <w:t xml:space="preserve"> will also enable learners and c</w:t>
      </w:r>
      <w:r>
        <w:rPr>
          <w:bCs/>
          <w:color w:val="000000" w:themeColor="text1"/>
          <w:sz w:val="24"/>
          <w:szCs w:val="24"/>
        </w:rPr>
        <w:t>entres to identify gaps in learners’ skills and formulate a learning plan that meets these needs prior to undertaking the required level of assessment.</w:t>
      </w:r>
      <w:r w:rsidRPr="005C027E">
        <w:rPr>
          <w:bCs/>
          <w:color w:val="000000" w:themeColor="text1"/>
          <w:sz w:val="24"/>
          <w:szCs w:val="24"/>
        </w:rPr>
        <w:t xml:space="preserve"> </w:t>
      </w:r>
      <w:r w:rsidRPr="00E159B5">
        <w:rPr>
          <w:bCs/>
          <w:color w:val="000000" w:themeColor="text1"/>
          <w:sz w:val="24"/>
          <w:szCs w:val="24"/>
        </w:rPr>
        <w:t>Learners also need to be confident in their underpinning skills and have the ability to transfer the necessary skills to a range of tasks</w:t>
      </w:r>
      <w:r>
        <w:rPr>
          <w:bCs/>
          <w:color w:val="000000" w:themeColor="text1"/>
          <w:sz w:val="24"/>
          <w:szCs w:val="24"/>
        </w:rPr>
        <w:t>.</w:t>
      </w:r>
    </w:p>
    <w:p w14:paraId="3C722214" w14:textId="77777777" w:rsidR="001C6C2D" w:rsidRPr="00E159B5" w:rsidRDefault="001C6C2D" w:rsidP="001C6C2D">
      <w:pPr>
        <w:pStyle w:val="BodyText"/>
        <w:rPr>
          <w:bCs/>
          <w:sz w:val="24"/>
          <w:szCs w:val="24"/>
        </w:rPr>
      </w:pPr>
    </w:p>
    <w:p w14:paraId="01921FDA" w14:textId="77777777" w:rsidR="001C6C2D" w:rsidRDefault="001C6C2D" w:rsidP="001C6C2D">
      <w:pPr>
        <w:pStyle w:val="BodyText"/>
        <w:rPr>
          <w:bCs/>
          <w:color w:val="000000" w:themeColor="text1"/>
          <w:sz w:val="24"/>
          <w:szCs w:val="24"/>
        </w:rPr>
      </w:pPr>
      <w:r>
        <w:rPr>
          <w:bCs/>
          <w:color w:val="000000" w:themeColor="text1"/>
          <w:sz w:val="24"/>
          <w:szCs w:val="24"/>
        </w:rPr>
        <w:t>I</w:t>
      </w:r>
      <w:r w:rsidRPr="00E159B5">
        <w:rPr>
          <w:bCs/>
          <w:color w:val="000000" w:themeColor="text1"/>
          <w:sz w:val="24"/>
          <w:szCs w:val="24"/>
        </w:rPr>
        <w:t>n several cases learners had not even provided responses to some of the</w:t>
      </w:r>
      <w:r>
        <w:rPr>
          <w:bCs/>
          <w:color w:val="000000" w:themeColor="text1"/>
          <w:sz w:val="24"/>
          <w:szCs w:val="24"/>
        </w:rPr>
        <w:t xml:space="preserve"> more simple</w:t>
      </w:r>
      <w:r w:rsidRPr="00E159B5">
        <w:rPr>
          <w:bCs/>
          <w:color w:val="000000" w:themeColor="text1"/>
          <w:sz w:val="24"/>
          <w:szCs w:val="24"/>
        </w:rPr>
        <w:t xml:space="preserve"> tasks such as identifying information from a table or chart or identifying the correct calculation</w:t>
      </w:r>
      <w:r>
        <w:rPr>
          <w:bCs/>
          <w:color w:val="000000" w:themeColor="text1"/>
          <w:sz w:val="24"/>
          <w:szCs w:val="24"/>
        </w:rPr>
        <w:t>s to use.</w:t>
      </w:r>
      <w:r w:rsidRPr="00E159B5">
        <w:rPr>
          <w:bCs/>
          <w:color w:val="000000" w:themeColor="text1"/>
          <w:sz w:val="24"/>
          <w:szCs w:val="24"/>
        </w:rPr>
        <w:t xml:space="preserve"> </w:t>
      </w:r>
    </w:p>
    <w:p w14:paraId="5DDCA5B7" w14:textId="77777777" w:rsidR="001C6C2D" w:rsidRDefault="001C6C2D" w:rsidP="001C6C2D">
      <w:pPr>
        <w:pStyle w:val="BodyText"/>
        <w:rPr>
          <w:bCs/>
          <w:color w:val="000000" w:themeColor="text1"/>
          <w:sz w:val="24"/>
          <w:szCs w:val="24"/>
        </w:rPr>
      </w:pPr>
      <w:r>
        <w:rPr>
          <w:bCs/>
          <w:color w:val="000000" w:themeColor="text1"/>
          <w:sz w:val="24"/>
          <w:szCs w:val="24"/>
        </w:rPr>
        <w:t xml:space="preserve">It is noticeable in learner feedback reports that some learners were not consistent in the application of various skills across a range of tasks. </w:t>
      </w:r>
    </w:p>
    <w:p w14:paraId="74CE4E2C" w14:textId="77777777" w:rsidR="001C6C2D" w:rsidRPr="00E159B5" w:rsidRDefault="001C6C2D" w:rsidP="001C6C2D">
      <w:pPr>
        <w:pStyle w:val="BodyText"/>
        <w:rPr>
          <w:bCs/>
          <w:color w:val="000000" w:themeColor="text1"/>
          <w:sz w:val="24"/>
          <w:szCs w:val="24"/>
        </w:rPr>
      </w:pPr>
    </w:p>
    <w:p w14:paraId="2999DA7B" w14:textId="77777777" w:rsidR="001C6C2D" w:rsidRDefault="001C6C2D" w:rsidP="001C6C2D">
      <w:pPr>
        <w:pStyle w:val="BodyText"/>
        <w:rPr>
          <w:bCs/>
          <w:color w:val="000000" w:themeColor="text1"/>
          <w:sz w:val="24"/>
          <w:szCs w:val="24"/>
        </w:rPr>
      </w:pPr>
      <w:r w:rsidRPr="00E159B5">
        <w:rPr>
          <w:bCs/>
          <w:color w:val="000000" w:themeColor="text1"/>
          <w:sz w:val="24"/>
          <w:szCs w:val="24"/>
        </w:rPr>
        <w:t xml:space="preserve">Learners need to ensure that they show all working out, </w:t>
      </w:r>
      <w:r>
        <w:rPr>
          <w:bCs/>
          <w:color w:val="000000" w:themeColor="text1"/>
          <w:sz w:val="24"/>
          <w:szCs w:val="24"/>
        </w:rPr>
        <w:t xml:space="preserve">which is crucial </w:t>
      </w:r>
      <w:r w:rsidRPr="00E159B5">
        <w:rPr>
          <w:bCs/>
          <w:color w:val="000000" w:themeColor="text1"/>
          <w:sz w:val="24"/>
          <w:szCs w:val="24"/>
        </w:rPr>
        <w:t>if they initially make an error</w:t>
      </w:r>
      <w:r>
        <w:rPr>
          <w:bCs/>
          <w:color w:val="000000" w:themeColor="text1"/>
          <w:sz w:val="24"/>
          <w:szCs w:val="24"/>
        </w:rPr>
        <w:t>,</w:t>
      </w:r>
      <w:r w:rsidRPr="00E159B5">
        <w:rPr>
          <w:bCs/>
          <w:color w:val="000000" w:themeColor="text1"/>
          <w:sz w:val="24"/>
          <w:szCs w:val="24"/>
        </w:rPr>
        <w:t xml:space="preserve"> as marks may be awarded for part answers or correct calculations seen</w:t>
      </w:r>
      <w:r>
        <w:rPr>
          <w:bCs/>
          <w:color w:val="000000" w:themeColor="text1"/>
          <w:sz w:val="24"/>
          <w:szCs w:val="24"/>
        </w:rPr>
        <w:t xml:space="preserve"> in working as well as identifying</w:t>
      </w:r>
      <w:r w:rsidRPr="00E159B5">
        <w:rPr>
          <w:bCs/>
          <w:color w:val="000000" w:themeColor="text1"/>
          <w:sz w:val="24"/>
          <w:szCs w:val="24"/>
        </w:rPr>
        <w:t xml:space="preserve"> relevant information from tables or charts</w:t>
      </w:r>
      <w:r>
        <w:rPr>
          <w:bCs/>
          <w:color w:val="000000" w:themeColor="text1"/>
          <w:sz w:val="24"/>
          <w:szCs w:val="24"/>
        </w:rPr>
        <w:t>. On some occasions learners have lost all the marks for a task where an incorrect answer has been given without any supporting working.</w:t>
      </w:r>
    </w:p>
    <w:p w14:paraId="0E5F7B20" w14:textId="77777777" w:rsidR="001C6C2D" w:rsidRDefault="001C6C2D" w:rsidP="001C6C2D">
      <w:pPr>
        <w:pStyle w:val="BodyText"/>
        <w:rPr>
          <w:bCs/>
          <w:sz w:val="24"/>
          <w:szCs w:val="24"/>
        </w:rPr>
      </w:pPr>
      <w:r>
        <w:rPr>
          <w:bCs/>
          <w:sz w:val="24"/>
          <w:szCs w:val="24"/>
        </w:rPr>
        <w:t>In addition l</w:t>
      </w:r>
      <w:r w:rsidRPr="00E159B5">
        <w:rPr>
          <w:bCs/>
          <w:sz w:val="24"/>
          <w:szCs w:val="24"/>
        </w:rPr>
        <w:t xml:space="preserve">earners also need to ensure that they indicate what units their final answers are in, i.e. cm, m, km, </w:t>
      </w:r>
      <w:r>
        <w:rPr>
          <w:bCs/>
          <w:sz w:val="24"/>
          <w:szCs w:val="24"/>
        </w:rPr>
        <w:t xml:space="preserve">as well as using indices to indicate whether a measurement is a volume or an area, </w:t>
      </w:r>
      <w:r w:rsidRPr="00E159B5">
        <w:rPr>
          <w:bCs/>
          <w:sz w:val="24"/>
          <w:szCs w:val="24"/>
        </w:rPr>
        <w:t>as this is often an area where marks may not be awarded</w:t>
      </w:r>
      <w:r>
        <w:rPr>
          <w:bCs/>
          <w:sz w:val="24"/>
          <w:szCs w:val="24"/>
        </w:rPr>
        <w:t>.</w:t>
      </w:r>
    </w:p>
    <w:p w14:paraId="00033752" w14:textId="77777777" w:rsidR="001C6C2D" w:rsidRDefault="001C6C2D" w:rsidP="001C6C2D">
      <w:pPr>
        <w:pStyle w:val="BodyText"/>
        <w:rPr>
          <w:bCs/>
          <w:sz w:val="24"/>
          <w:szCs w:val="24"/>
        </w:rPr>
      </w:pPr>
    </w:p>
    <w:p w14:paraId="166DFD37" w14:textId="77777777" w:rsidR="001C6C2D" w:rsidRDefault="001C6C2D" w:rsidP="001C6C2D">
      <w:pPr>
        <w:pStyle w:val="BodyText"/>
        <w:rPr>
          <w:bCs/>
          <w:sz w:val="24"/>
          <w:szCs w:val="24"/>
        </w:rPr>
      </w:pPr>
      <w:r w:rsidRPr="00D0457C">
        <w:rPr>
          <w:bCs/>
          <w:sz w:val="24"/>
          <w:szCs w:val="24"/>
        </w:rPr>
        <w:t xml:space="preserve">Errors at the initial stages of tasks are </w:t>
      </w:r>
      <w:r>
        <w:rPr>
          <w:bCs/>
          <w:sz w:val="24"/>
          <w:szCs w:val="24"/>
        </w:rPr>
        <w:t>regularly seen and may be the</w:t>
      </w:r>
      <w:r w:rsidRPr="00D0457C">
        <w:rPr>
          <w:bCs/>
          <w:sz w:val="24"/>
          <w:szCs w:val="24"/>
        </w:rPr>
        <w:t xml:space="preserve"> result of learners not en</w:t>
      </w:r>
      <w:r>
        <w:rPr>
          <w:bCs/>
          <w:sz w:val="24"/>
          <w:szCs w:val="24"/>
        </w:rPr>
        <w:t xml:space="preserve">suring that they have read the </w:t>
      </w:r>
      <w:r w:rsidRPr="00D0457C">
        <w:rPr>
          <w:bCs/>
          <w:sz w:val="24"/>
          <w:szCs w:val="24"/>
        </w:rPr>
        <w:t>task instructions</w:t>
      </w:r>
      <w:r>
        <w:rPr>
          <w:bCs/>
          <w:sz w:val="24"/>
          <w:szCs w:val="24"/>
        </w:rPr>
        <w:t xml:space="preserve"> fully</w:t>
      </w:r>
      <w:r w:rsidRPr="00D0457C">
        <w:rPr>
          <w:bCs/>
          <w:sz w:val="24"/>
          <w:szCs w:val="24"/>
        </w:rPr>
        <w:t xml:space="preserve">. Learners should be </w:t>
      </w:r>
      <w:r>
        <w:rPr>
          <w:bCs/>
          <w:sz w:val="24"/>
          <w:szCs w:val="24"/>
        </w:rPr>
        <w:t xml:space="preserve">guided </w:t>
      </w:r>
      <w:r w:rsidRPr="00D0457C">
        <w:rPr>
          <w:bCs/>
          <w:sz w:val="24"/>
          <w:szCs w:val="24"/>
        </w:rPr>
        <w:t xml:space="preserve">to read questions more than once and in the case </w:t>
      </w:r>
      <w:r>
        <w:rPr>
          <w:bCs/>
          <w:sz w:val="24"/>
          <w:szCs w:val="24"/>
        </w:rPr>
        <w:t>of paper based assessments can be encouraged to underline or</w:t>
      </w:r>
      <w:r w:rsidRPr="00D0457C">
        <w:rPr>
          <w:bCs/>
          <w:sz w:val="24"/>
          <w:szCs w:val="24"/>
        </w:rPr>
        <w:t xml:space="preserve"> highlight key information</w:t>
      </w:r>
      <w:r>
        <w:rPr>
          <w:bCs/>
          <w:sz w:val="24"/>
          <w:szCs w:val="24"/>
        </w:rPr>
        <w:t xml:space="preserve"> essential to the tasks.</w:t>
      </w:r>
    </w:p>
    <w:p w14:paraId="1497D1D8" w14:textId="77777777" w:rsidR="001C6C2D" w:rsidRDefault="001C6C2D" w:rsidP="001C6C2D">
      <w:pPr>
        <w:pStyle w:val="BodyText"/>
        <w:rPr>
          <w:b/>
          <w:bCs/>
          <w:sz w:val="28"/>
          <w:szCs w:val="22"/>
        </w:rPr>
      </w:pPr>
    </w:p>
    <w:p w14:paraId="1F5A08E0" w14:textId="1A426587" w:rsidR="001C6C2D" w:rsidRDefault="001C6C2D" w:rsidP="001C6C2D">
      <w:pPr>
        <w:pStyle w:val="BodyText"/>
        <w:rPr>
          <w:bCs/>
          <w:sz w:val="24"/>
          <w:szCs w:val="24"/>
        </w:rPr>
      </w:pPr>
      <w:r w:rsidRPr="00E159B5">
        <w:rPr>
          <w:bCs/>
          <w:sz w:val="24"/>
          <w:szCs w:val="24"/>
        </w:rPr>
        <w:t xml:space="preserve">Evidence of working </w:t>
      </w:r>
      <w:r>
        <w:rPr>
          <w:bCs/>
          <w:sz w:val="24"/>
          <w:szCs w:val="24"/>
        </w:rPr>
        <w:t>out and checking of answers are frequently seen</w:t>
      </w:r>
      <w:r w:rsidRPr="00E159B5">
        <w:rPr>
          <w:bCs/>
          <w:sz w:val="24"/>
          <w:szCs w:val="24"/>
        </w:rPr>
        <w:t xml:space="preserve"> to be </w:t>
      </w:r>
      <w:r>
        <w:rPr>
          <w:bCs/>
          <w:sz w:val="24"/>
          <w:szCs w:val="24"/>
        </w:rPr>
        <w:t xml:space="preserve">two of </w:t>
      </w:r>
      <w:r w:rsidRPr="00E159B5">
        <w:rPr>
          <w:bCs/>
          <w:sz w:val="24"/>
          <w:szCs w:val="24"/>
        </w:rPr>
        <w:t>the most common area</w:t>
      </w:r>
      <w:r>
        <w:rPr>
          <w:bCs/>
          <w:sz w:val="24"/>
          <w:szCs w:val="24"/>
        </w:rPr>
        <w:t>s</w:t>
      </w:r>
      <w:r w:rsidRPr="00E159B5">
        <w:rPr>
          <w:bCs/>
          <w:sz w:val="24"/>
          <w:szCs w:val="24"/>
        </w:rPr>
        <w:t xml:space="preserve"> where marks are not awarded</w:t>
      </w:r>
      <w:r>
        <w:rPr>
          <w:bCs/>
          <w:sz w:val="24"/>
          <w:szCs w:val="24"/>
        </w:rPr>
        <w:t xml:space="preserve"> at both levels,</w:t>
      </w:r>
      <w:r w:rsidRPr="00E159B5">
        <w:rPr>
          <w:bCs/>
          <w:sz w:val="24"/>
          <w:szCs w:val="24"/>
        </w:rPr>
        <w:t xml:space="preserve"> and learners need to be supported and encouraged </w:t>
      </w:r>
      <w:r w:rsidR="003B05DF">
        <w:rPr>
          <w:bCs/>
          <w:sz w:val="24"/>
          <w:szCs w:val="24"/>
        </w:rPr>
        <w:t>by centre</w:t>
      </w:r>
      <w:r>
        <w:rPr>
          <w:bCs/>
          <w:sz w:val="24"/>
          <w:szCs w:val="24"/>
        </w:rPr>
        <w:t xml:space="preserve">s </w:t>
      </w:r>
      <w:r w:rsidRPr="00E159B5">
        <w:rPr>
          <w:bCs/>
          <w:sz w:val="24"/>
          <w:szCs w:val="24"/>
        </w:rPr>
        <w:t>to make sure that this is demonstrated in their assessment responses.</w:t>
      </w:r>
      <w:r>
        <w:rPr>
          <w:bCs/>
          <w:sz w:val="24"/>
          <w:szCs w:val="24"/>
        </w:rPr>
        <w:t xml:space="preserve"> The checking of calculations can often identify errors in learners’ original working and therefore provides an opportunity to maximize marks by enabling learners to correct errors.</w:t>
      </w:r>
    </w:p>
    <w:p w14:paraId="5C133A73" w14:textId="77777777" w:rsidR="001C6C2D" w:rsidRDefault="001C6C2D" w:rsidP="001C6C2D">
      <w:pPr>
        <w:pStyle w:val="BodyText"/>
        <w:rPr>
          <w:bCs/>
          <w:color w:val="00B4BC"/>
          <w:sz w:val="28"/>
          <w:szCs w:val="22"/>
        </w:rPr>
      </w:pPr>
    </w:p>
    <w:p w14:paraId="68B63164" w14:textId="77777777" w:rsidR="001C6C2D" w:rsidRDefault="001C6C2D" w:rsidP="001C6C2D">
      <w:pPr>
        <w:pStyle w:val="BodyText"/>
        <w:rPr>
          <w:bCs/>
          <w:color w:val="000000" w:themeColor="text1"/>
          <w:sz w:val="24"/>
          <w:szCs w:val="24"/>
        </w:rPr>
      </w:pPr>
      <w:r>
        <w:rPr>
          <w:bCs/>
          <w:color w:val="000000" w:themeColor="text1"/>
          <w:sz w:val="24"/>
          <w:szCs w:val="24"/>
        </w:rPr>
        <w:t xml:space="preserve">Several learners are not awarded marks through </w:t>
      </w:r>
      <w:r w:rsidRPr="0001095B">
        <w:rPr>
          <w:bCs/>
          <w:color w:val="000000" w:themeColor="text1"/>
          <w:sz w:val="24"/>
          <w:szCs w:val="24"/>
        </w:rPr>
        <w:t>not taking note of key command phases such as:</w:t>
      </w:r>
    </w:p>
    <w:p w14:paraId="3091C928" w14:textId="77777777" w:rsidR="001C6C2D" w:rsidRPr="0001095B" w:rsidRDefault="001C6C2D" w:rsidP="001C6C2D">
      <w:pPr>
        <w:pStyle w:val="BodyText"/>
        <w:rPr>
          <w:bCs/>
          <w:color w:val="000000" w:themeColor="text1"/>
          <w:sz w:val="24"/>
          <w:szCs w:val="24"/>
        </w:rPr>
      </w:pPr>
    </w:p>
    <w:p w14:paraId="63DED8B9" w14:textId="77777777" w:rsidR="001C6C2D" w:rsidRPr="0001095B" w:rsidRDefault="001C6C2D" w:rsidP="001C6C2D">
      <w:pPr>
        <w:pStyle w:val="BodyText"/>
        <w:rPr>
          <w:bCs/>
          <w:color w:val="000000" w:themeColor="text1"/>
          <w:sz w:val="24"/>
          <w:szCs w:val="24"/>
        </w:rPr>
      </w:pPr>
      <w:r>
        <w:rPr>
          <w:bCs/>
          <w:color w:val="000000" w:themeColor="text1"/>
          <w:sz w:val="24"/>
          <w:szCs w:val="24"/>
        </w:rPr>
        <w:t>“</w:t>
      </w:r>
      <w:r w:rsidRPr="0001095B">
        <w:rPr>
          <w:bCs/>
          <w:color w:val="000000" w:themeColor="text1"/>
          <w:sz w:val="24"/>
          <w:szCs w:val="24"/>
        </w:rPr>
        <w:t>Show how ...”</w:t>
      </w:r>
    </w:p>
    <w:p w14:paraId="772D1F33" w14:textId="77777777" w:rsidR="001C6C2D" w:rsidRDefault="001C6C2D" w:rsidP="001C6C2D">
      <w:pPr>
        <w:pStyle w:val="BodyText"/>
        <w:rPr>
          <w:bCs/>
          <w:color w:val="000000" w:themeColor="text1"/>
          <w:sz w:val="24"/>
          <w:szCs w:val="24"/>
        </w:rPr>
      </w:pPr>
      <w:r w:rsidRPr="0001095B">
        <w:rPr>
          <w:bCs/>
          <w:color w:val="000000" w:themeColor="text1"/>
          <w:sz w:val="24"/>
          <w:szCs w:val="24"/>
        </w:rPr>
        <w:t xml:space="preserve">“Explain </w:t>
      </w:r>
      <w:r>
        <w:rPr>
          <w:bCs/>
          <w:color w:val="000000" w:themeColor="text1"/>
          <w:sz w:val="24"/>
          <w:szCs w:val="24"/>
        </w:rPr>
        <w:t>your answer”</w:t>
      </w:r>
    </w:p>
    <w:p w14:paraId="1912DA3F" w14:textId="77777777" w:rsidR="001C6C2D" w:rsidRPr="0001095B" w:rsidRDefault="001C6C2D" w:rsidP="001C6C2D">
      <w:pPr>
        <w:pStyle w:val="BodyText"/>
        <w:rPr>
          <w:bCs/>
          <w:color w:val="000000" w:themeColor="text1"/>
          <w:sz w:val="24"/>
          <w:szCs w:val="24"/>
        </w:rPr>
      </w:pPr>
    </w:p>
    <w:p w14:paraId="034B59F7" w14:textId="77777777" w:rsidR="001C6C2D" w:rsidRDefault="001C6C2D" w:rsidP="001C6C2D">
      <w:pPr>
        <w:pStyle w:val="BodyText"/>
        <w:rPr>
          <w:bCs/>
          <w:color w:val="000000" w:themeColor="text1"/>
          <w:sz w:val="24"/>
          <w:szCs w:val="24"/>
        </w:rPr>
      </w:pPr>
      <w:r w:rsidRPr="0001095B">
        <w:rPr>
          <w:bCs/>
          <w:color w:val="000000" w:themeColor="text1"/>
          <w:sz w:val="24"/>
          <w:szCs w:val="24"/>
        </w:rPr>
        <w:t xml:space="preserve">These phrases indicate that more than a worked answer is required, and fulfills </w:t>
      </w:r>
      <w:r>
        <w:rPr>
          <w:bCs/>
          <w:color w:val="000000" w:themeColor="text1"/>
          <w:sz w:val="24"/>
          <w:szCs w:val="24"/>
        </w:rPr>
        <w:t>the Level 2 Skill Standards of “i</w:t>
      </w:r>
      <w:r w:rsidRPr="0001095B">
        <w:rPr>
          <w:bCs/>
          <w:color w:val="000000" w:themeColor="text1"/>
          <w:sz w:val="24"/>
          <w:szCs w:val="24"/>
        </w:rPr>
        <w:t>nterpret and communicate solutions to multi-stage practical problems in familiar and unfamiliar contexts and situations</w:t>
      </w:r>
      <w:r>
        <w:rPr>
          <w:bCs/>
          <w:color w:val="000000" w:themeColor="text1"/>
          <w:sz w:val="24"/>
          <w:szCs w:val="24"/>
        </w:rPr>
        <w:t>”</w:t>
      </w:r>
      <w:r w:rsidRPr="0001095B">
        <w:rPr>
          <w:bCs/>
          <w:color w:val="000000" w:themeColor="text1"/>
          <w:sz w:val="24"/>
          <w:szCs w:val="24"/>
        </w:rPr>
        <w:t xml:space="preserve">, and </w:t>
      </w:r>
      <w:r>
        <w:rPr>
          <w:bCs/>
          <w:color w:val="000000" w:themeColor="text1"/>
          <w:sz w:val="24"/>
          <w:szCs w:val="24"/>
        </w:rPr>
        <w:t>also “d</w:t>
      </w:r>
      <w:r w:rsidRPr="0001095B">
        <w:rPr>
          <w:bCs/>
          <w:color w:val="000000" w:themeColor="text1"/>
          <w:sz w:val="24"/>
          <w:szCs w:val="24"/>
        </w:rPr>
        <w:t>raw conclusions and provide mat</w:t>
      </w:r>
      <w:r>
        <w:rPr>
          <w:bCs/>
          <w:color w:val="000000" w:themeColor="text1"/>
          <w:sz w:val="24"/>
          <w:szCs w:val="24"/>
        </w:rPr>
        <w:t xml:space="preserve">hematical justifications”. In some given examples </w:t>
      </w:r>
      <w:r w:rsidRPr="0001095B">
        <w:rPr>
          <w:bCs/>
          <w:color w:val="000000" w:themeColor="text1"/>
          <w:sz w:val="24"/>
          <w:szCs w:val="24"/>
        </w:rPr>
        <w:t xml:space="preserve">marks </w:t>
      </w:r>
      <w:r>
        <w:rPr>
          <w:bCs/>
          <w:color w:val="000000" w:themeColor="text1"/>
          <w:sz w:val="24"/>
          <w:szCs w:val="24"/>
        </w:rPr>
        <w:t xml:space="preserve">were occasionally </w:t>
      </w:r>
      <w:r w:rsidRPr="0001095B">
        <w:rPr>
          <w:bCs/>
          <w:color w:val="000000" w:themeColor="text1"/>
          <w:sz w:val="24"/>
          <w:szCs w:val="24"/>
        </w:rPr>
        <w:t>not awarded d</w:t>
      </w:r>
      <w:r>
        <w:rPr>
          <w:bCs/>
          <w:color w:val="000000" w:themeColor="text1"/>
          <w:sz w:val="24"/>
          <w:szCs w:val="24"/>
        </w:rPr>
        <w:t>ue to the lack of explanation or</w:t>
      </w:r>
      <w:r w:rsidRPr="0001095B">
        <w:rPr>
          <w:bCs/>
          <w:color w:val="000000" w:themeColor="text1"/>
          <w:sz w:val="24"/>
          <w:szCs w:val="24"/>
        </w:rPr>
        <w:t xml:space="preserve"> justification of learners’ choices or responses</w:t>
      </w:r>
      <w:r>
        <w:rPr>
          <w:bCs/>
          <w:color w:val="000000" w:themeColor="text1"/>
          <w:sz w:val="24"/>
          <w:szCs w:val="24"/>
        </w:rPr>
        <w:t>. The learners have merely stated ‘Yes’ or ‘No’ as their final response.</w:t>
      </w:r>
    </w:p>
    <w:p w14:paraId="7CC6F93F" w14:textId="77777777" w:rsidR="001C6C2D" w:rsidRDefault="001C6C2D" w:rsidP="001C6C2D">
      <w:pPr>
        <w:pStyle w:val="BodyText"/>
        <w:rPr>
          <w:bCs/>
          <w:color w:val="000000" w:themeColor="text1"/>
          <w:sz w:val="24"/>
          <w:szCs w:val="24"/>
        </w:rPr>
      </w:pPr>
    </w:p>
    <w:p w14:paraId="7854DFA5" w14:textId="77777777" w:rsidR="001C6C2D" w:rsidRDefault="001C6C2D" w:rsidP="001C6C2D">
      <w:pPr>
        <w:pStyle w:val="BodyText"/>
        <w:rPr>
          <w:bCs/>
          <w:color w:val="000000" w:themeColor="text1"/>
          <w:sz w:val="24"/>
          <w:szCs w:val="24"/>
        </w:rPr>
      </w:pPr>
      <w:r w:rsidRPr="00EB6BE8">
        <w:rPr>
          <w:bCs/>
          <w:color w:val="000000" w:themeColor="text1"/>
          <w:sz w:val="24"/>
          <w:szCs w:val="24"/>
        </w:rPr>
        <w:t>The</w:t>
      </w:r>
      <w:r>
        <w:rPr>
          <w:bCs/>
          <w:color w:val="000000" w:themeColor="text1"/>
          <w:sz w:val="24"/>
          <w:szCs w:val="24"/>
        </w:rPr>
        <w:t>re have been a variety of assessments</w:t>
      </w:r>
      <w:r w:rsidRPr="00EB6BE8">
        <w:rPr>
          <w:bCs/>
          <w:color w:val="000000" w:themeColor="text1"/>
          <w:sz w:val="24"/>
          <w:szCs w:val="24"/>
        </w:rPr>
        <w:t xml:space="preserve"> that </w:t>
      </w:r>
      <w:r>
        <w:rPr>
          <w:bCs/>
          <w:color w:val="000000" w:themeColor="text1"/>
          <w:sz w:val="24"/>
          <w:szCs w:val="24"/>
        </w:rPr>
        <w:t xml:space="preserve">have </w:t>
      </w:r>
      <w:r w:rsidRPr="00EB6BE8">
        <w:rPr>
          <w:bCs/>
          <w:color w:val="000000" w:themeColor="text1"/>
          <w:sz w:val="24"/>
          <w:szCs w:val="24"/>
        </w:rPr>
        <w:t>include</w:t>
      </w:r>
      <w:r>
        <w:rPr>
          <w:bCs/>
          <w:color w:val="000000" w:themeColor="text1"/>
          <w:sz w:val="24"/>
          <w:szCs w:val="24"/>
        </w:rPr>
        <w:t>d suitable</w:t>
      </w:r>
      <w:r w:rsidRPr="00EB6BE8">
        <w:rPr>
          <w:bCs/>
          <w:color w:val="000000" w:themeColor="text1"/>
          <w:sz w:val="24"/>
          <w:szCs w:val="24"/>
        </w:rPr>
        <w:t xml:space="preserve"> topics to engage lea</w:t>
      </w:r>
      <w:r>
        <w:rPr>
          <w:bCs/>
          <w:color w:val="000000" w:themeColor="text1"/>
          <w:sz w:val="24"/>
          <w:szCs w:val="24"/>
        </w:rPr>
        <w:t>rners of all ages and abilities. The assessments are generic and are considered</w:t>
      </w:r>
      <w:r w:rsidRPr="00EB6BE8">
        <w:rPr>
          <w:bCs/>
          <w:color w:val="000000" w:themeColor="text1"/>
          <w:sz w:val="24"/>
          <w:szCs w:val="24"/>
        </w:rPr>
        <w:t xml:space="preserve"> to be accessible by</w:t>
      </w:r>
      <w:r>
        <w:rPr>
          <w:bCs/>
          <w:color w:val="000000" w:themeColor="text1"/>
          <w:sz w:val="24"/>
          <w:szCs w:val="24"/>
        </w:rPr>
        <w:t xml:space="preserve"> a range of learners of all abilities. All variants of assessments</w:t>
      </w:r>
      <w:r w:rsidRPr="00EB6BE8">
        <w:rPr>
          <w:bCs/>
          <w:color w:val="000000" w:themeColor="text1"/>
          <w:sz w:val="24"/>
          <w:szCs w:val="24"/>
        </w:rPr>
        <w:t xml:space="preserve"> have performed consistently with the level of tasks being appropriate and that meet the required standards, range and </w:t>
      </w:r>
      <w:r>
        <w:rPr>
          <w:bCs/>
          <w:color w:val="000000" w:themeColor="text1"/>
          <w:sz w:val="24"/>
          <w:szCs w:val="24"/>
        </w:rPr>
        <w:t>coverage. All assessments</w:t>
      </w:r>
      <w:r w:rsidRPr="00EB6BE8">
        <w:rPr>
          <w:bCs/>
          <w:color w:val="000000" w:themeColor="text1"/>
          <w:sz w:val="24"/>
          <w:szCs w:val="24"/>
        </w:rPr>
        <w:t xml:space="preserve"> ar</w:t>
      </w:r>
      <w:r>
        <w:rPr>
          <w:bCs/>
          <w:color w:val="000000" w:themeColor="text1"/>
          <w:sz w:val="24"/>
          <w:szCs w:val="24"/>
        </w:rPr>
        <w:t>e available as paper scripts as well as online,</w:t>
      </w:r>
      <w:r w:rsidRPr="00EB6BE8">
        <w:rPr>
          <w:bCs/>
          <w:color w:val="000000" w:themeColor="text1"/>
          <w:sz w:val="24"/>
          <w:szCs w:val="24"/>
        </w:rPr>
        <w:t xml:space="preserve"> with access being provided for learners with specific learning needs, such as enlarged print, braille and coloured scripts</w:t>
      </w:r>
    </w:p>
    <w:p w14:paraId="6B14B426" w14:textId="77777777" w:rsidR="001C6C2D" w:rsidRPr="0001095B" w:rsidRDefault="001C6C2D" w:rsidP="001C6C2D">
      <w:pPr>
        <w:pStyle w:val="BodyText"/>
        <w:rPr>
          <w:bCs/>
          <w:color w:val="000000" w:themeColor="text1"/>
          <w:sz w:val="24"/>
          <w:szCs w:val="24"/>
        </w:rPr>
      </w:pPr>
    </w:p>
    <w:p w14:paraId="145015B6" w14:textId="77777777" w:rsidR="001C6C2D" w:rsidRPr="00E159B5" w:rsidRDefault="001C6C2D" w:rsidP="001C6C2D">
      <w:pPr>
        <w:pStyle w:val="BodyText"/>
        <w:rPr>
          <w:bCs/>
          <w:sz w:val="24"/>
          <w:szCs w:val="24"/>
        </w:rPr>
      </w:pPr>
      <w:r>
        <w:rPr>
          <w:bCs/>
          <w:sz w:val="24"/>
          <w:szCs w:val="24"/>
        </w:rPr>
        <w:t xml:space="preserve">A full suite of learning resources is available </w:t>
      </w:r>
      <w:r w:rsidRPr="00E159B5">
        <w:rPr>
          <w:bCs/>
          <w:sz w:val="24"/>
          <w:szCs w:val="24"/>
        </w:rPr>
        <w:t xml:space="preserve">on the NCFE </w:t>
      </w:r>
      <w:r>
        <w:rPr>
          <w:bCs/>
          <w:sz w:val="24"/>
          <w:szCs w:val="24"/>
        </w:rPr>
        <w:t>website that can provide opportunities for learner to fully prepare for their assessments</w:t>
      </w:r>
      <w:r w:rsidRPr="00E159B5">
        <w:rPr>
          <w:bCs/>
          <w:sz w:val="24"/>
          <w:szCs w:val="24"/>
        </w:rPr>
        <w:t>. This includes</w:t>
      </w:r>
      <w:r>
        <w:rPr>
          <w:bCs/>
          <w:sz w:val="24"/>
          <w:szCs w:val="24"/>
        </w:rPr>
        <w:t xml:space="preserve"> sample assessments and resources such as subject content specific information sheets, customisable </w:t>
      </w:r>
      <w:r w:rsidRPr="00E159B5">
        <w:rPr>
          <w:bCs/>
          <w:sz w:val="24"/>
          <w:szCs w:val="24"/>
        </w:rPr>
        <w:t xml:space="preserve">PowerPoints and </w:t>
      </w:r>
      <w:r>
        <w:rPr>
          <w:bCs/>
          <w:sz w:val="24"/>
          <w:szCs w:val="24"/>
        </w:rPr>
        <w:t xml:space="preserve">learner </w:t>
      </w:r>
      <w:r w:rsidRPr="00E159B5">
        <w:rPr>
          <w:bCs/>
          <w:sz w:val="24"/>
          <w:szCs w:val="24"/>
        </w:rPr>
        <w:t xml:space="preserve">activity </w:t>
      </w:r>
      <w:r>
        <w:rPr>
          <w:bCs/>
          <w:sz w:val="24"/>
          <w:szCs w:val="24"/>
        </w:rPr>
        <w:t xml:space="preserve">and answer </w:t>
      </w:r>
      <w:r w:rsidRPr="00E159B5">
        <w:rPr>
          <w:bCs/>
          <w:sz w:val="24"/>
          <w:szCs w:val="24"/>
        </w:rPr>
        <w:t>sheets</w:t>
      </w:r>
      <w:r>
        <w:rPr>
          <w:bCs/>
          <w:sz w:val="24"/>
          <w:szCs w:val="24"/>
        </w:rPr>
        <w:t xml:space="preserve"> along with learner checklists</w:t>
      </w:r>
      <w:r w:rsidRPr="00E159B5">
        <w:rPr>
          <w:bCs/>
          <w:sz w:val="24"/>
          <w:szCs w:val="24"/>
        </w:rPr>
        <w:t xml:space="preserve"> that can be used in teaching environments or as self-directed study.</w:t>
      </w:r>
    </w:p>
    <w:p w14:paraId="5F5D9CFD" w14:textId="77777777" w:rsidR="001C6C2D" w:rsidRPr="00815F47" w:rsidRDefault="001C6C2D" w:rsidP="001C6C2D">
      <w:pPr>
        <w:spacing w:before="120"/>
        <w:ind w:left="357"/>
        <w:rPr>
          <w:rFonts w:cs="Arial"/>
          <w:lang w:val="en-US"/>
        </w:rPr>
      </w:pPr>
      <w:r w:rsidRPr="00815F47">
        <w:rPr>
          <w:rFonts w:cs="Arial"/>
          <w:lang w:val="en-US"/>
        </w:rPr>
        <w:t> </w:t>
      </w:r>
    </w:p>
    <w:p w14:paraId="255C86C1" w14:textId="77777777" w:rsidR="001C6C2D" w:rsidRPr="00D4192E" w:rsidRDefault="001C6C2D" w:rsidP="001C6C2D">
      <w:pPr>
        <w:widowControl w:val="0"/>
        <w:autoSpaceDE w:val="0"/>
        <w:autoSpaceDN w:val="0"/>
        <w:adjustRightInd w:val="0"/>
        <w:rPr>
          <w:b/>
          <w:szCs w:val="22"/>
        </w:rPr>
      </w:pPr>
    </w:p>
    <w:p w14:paraId="69AA62B7" w14:textId="77777777" w:rsidR="001C6C2D" w:rsidRPr="00C36D45" w:rsidRDefault="001C6C2D" w:rsidP="001C6C2D">
      <w:pPr>
        <w:pStyle w:val="BodyText"/>
        <w:rPr>
          <w:b/>
          <w:bCs/>
          <w:sz w:val="22"/>
          <w:szCs w:val="22"/>
        </w:rPr>
      </w:pPr>
    </w:p>
    <w:p w14:paraId="489A070F" w14:textId="77777777" w:rsidR="001C6C2D" w:rsidRPr="006B172F" w:rsidRDefault="001C6C2D" w:rsidP="001C6C2D">
      <w:pPr>
        <w:pStyle w:val="BodyText"/>
        <w:rPr>
          <w:b/>
          <w:bCs/>
          <w:sz w:val="22"/>
          <w:szCs w:val="22"/>
        </w:rPr>
      </w:pPr>
      <w:r w:rsidRPr="006B172F">
        <w:rPr>
          <w:b/>
          <w:bCs/>
          <w:sz w:val="22"/>
          <w:szCs w:val="22"/>
        </w:rPr>
        <w:t xml:space="preserve">Chief Examiner: </w:t>
      </w:r>
      <w:r>
        <w:rPr>
          <w:b/>
          <w:bCs/>
          <w:sz w:val="22"/>
          <w:szCs w:val="22"/>
        </w:rPr>
        <w:t xml:space="preserve">Heather Peacock </w:t>
      </w:r>
    </w:p>
    <w:p w14:paraId="1ADFB0A6" w14:textId="580D9899" w:rsidR="00E66697" w:rsidRPr="001C6C2D" w:rsidRDefault="001C6C2D" w:rsidP="001C6C2D">
      <w:r w:rsidRPr="006B172F">
        <w:rPr>
          <w:b/>
          <w:bCs/>
          <w:szCs w:val="22"/>
        </w:rPr>
        <w:t xml:space="preserve">Date: </w:t>
      </w:r>
      <w:r>
        <w:rPr>
          <w:b/>
          <w:bCs/>
          <w:szCs w:val="22"/>
        </w:rPr>
        <w:t>September 2019</w:t>
      </w:r>
    </w:p>
    <w:sectPr w:rsidR="00E66697" w:rsidRPr="001C6C2D" w:rsidSect="00B71819">
      <w:headerReference w:type="default" r:id="rId8"/>
      <w:footerReference w:type="default" r:id="rId9"/>
      <w:pgSz w:w="11906" w:h="16838" w:code="9"/>
      <w:pgMar w:top="2835" w:right="658" w:bottom="1814" w:left="6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18DD5" w14:textId="77777777" w:rsidR="00FC4D3D" w:rsidRDefault="00FC4D3D" w:rsidP="00FC4D3D">
      <w:r>
        <w:separator/>
      </w:r>
    </w:p>
  </w:endnote>
  <w:endnote w:type="continuationSeparator" w:id="0">
    <w:p w14:paraId="47146AA2" w14:textId="77777777" w:rsidR="00FC4D3D" w:rsidRDefault="00FC4D3D" w:rsidP="00FC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arbon Medium">
    <w:panose1 w:val="000006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CA672" w14:textId="77777777" w:rsidR="00FC4D3D" w:rsidRDefault="008D6E56">
    <w:pPr>
      <w:pStyle w:val="Footer"/>
    </w:pPr>
    <w:r>
      <w:rPr>
        <w:noProof/>
        <w:lang w:eastAsia="en-GB"/>
      </w:rPr>
      <w:drawing>
        <wp:anchor distT="0" distB="0" distL="114300" distR="114300" simplePos="0" relativeHeight="251659264" behindDoc="0" locked="0" layoutInCell="1" allowOverlap="1" wp14:anchorId="0B03C10D" wp14:editId="2A11CEE4">
          <wp:simplePos x="0" y="0"/>
          <wp:positionH relativeFrom="page">
            <wp:align>left</wp:align>
          </wp:positionH>
          <wp:positionV relativeFrom="paragraph">
            <wp:posOffset>-499110</wp:posOffset>
          </wp:positionV>
          <wp:extent cx="7559326" cy="1102995"/>
          <wp:effectExtent l="0" t="0" r="3810" b="190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S Footer_Artboard 8.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326" cy="11029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88595" w14:textId="77777777" w:rsidR="00FC4D3D" w:rsidRDefault="00FC4D3D" w:rsidP="00FC4D3D">
      <w:r>
        <w:separator/>
      </w:r>
    </w:p>
  </w:footnote>
  <w:footnote w:type="continuationSeparator" w:id="0">
    <w:p w14:paraId="3D209A48" w14:textId="77777777" w:rsidR="00FC4D3D" w:rsidRDefault="00FC4D3D" w:rsidP="00FC4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0C422" w14:textId="77777777" w:rsidR="00FC4D3D" w:rsidRDefault="008D6E56">
    <w:pPr>
      <w:pStyle w:val="Header"/>
    </w:pPr>
    <w:r>
      <w:rPr>
        <w:noProof/>
        <w:lang w:eastAsia="en-GB"/>
      </w:rPr>
      <w:drawing>
        <wp:anchor distT="0" distB="0" distL="114300" distR="114300" simplePos="0" relativeHeight="251660288" behindDoc="0" locked="0" layoutInCell="1" allowOverlap="1" wp14:anchorId="306D85F9" wp14:editId="74B97D2B">
          <wp:simplePos x="0" y="0"/>
          <wp:positionH relativeFrom="page">
            <wp:align>left</wp:align>
          </wp:positionH>
          <wp:positionV relativeFrom="paragraph">
            <wp:posOffset>-449580</wp:posOffset>
          </wp:positionV>
          <wp:extent cx="7541583" cy="1571625"/>
          <wp:effectExtent l="0" t="0" r="254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 Header_Artboard 8.tif"/>
                  <pic:cNvPicPr/>
                </pic:nvPicPr>
                <pic:blipFill rotWithShape="1">
                  <a:blip r:embed="rId1" cstate="print">
                    <a:extLst>
                      <a:ext uri="{28A0092B-C50C-407E-A947-70E740481C1C}">
                        <a14:useLocalDpi xmlns:a14="http://schemas.microsoft.com/office/drawing/2010/main" val="0"/>
                      </a:ext>
                    </a:extLst>
                  </a:blip>
                  <a:srcRect b="24519"/>
                  <a:stretch/>
                </pic:blipFill>
                <pic:spPr bwMode="auto">
                  <a:xfrm>
                    <a:off x="0" y="0"/>
                    <a:ext cx="7551840" cy="1573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D13939" w14:textId="77777777" w:rsidR="00FC4D3D" w:rsidRDefault="00FC4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4AE5"/>
    <w:multiLevelType w:val="hybridMultilevel"/>
    <w:tmpl w:val="E658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D43F8"/>
    <w:multiLevelType w:val="hybridMultilevel"/>
    <w:tmpl w:val="746A866E"/>
    <w:lvl w:ilvl="0" w:tplc="8B9418E4">
      <w:start w:val="2"/>
      <w:numFmt w:val="decimal"/>
      <w:lvlText w:val="%1."/>
      <w:lvlJc w:val="left"/>
      <w:pPr>
        <w:ind w:left="1015" w:hanging="221"/>
      </w:pPr>
      <w:rPr>
        <w:rFonts w:ascii="Arial" w:eastAsia="Arial" w:hAnsi="Arial" w:cs="Arial" w:hint="default"/>
        <w:w w:val="99"/>
        <w:sz w:val="20"/>
        <w:szCs w:val="20"/>
      </w:rPr>
    </w:lvl>
    <w:lvl w:ilvl="1" w:tplc="2A78AA36">
      <w:start w:val="1"/>
      <w:numFmt w:val="bullet"/>
      <w:lvlText w:val=""/>
      <w:lvlJc w:val="left"/>
      <w:pPr>
        <w:ind w:left="1514" w:hanging="361"/>
      </w:pPr>
      <w:rPr>
        <w:rFonts w:ascii="Symbol" w:eastAsia="Symbol" w:hAnsi="Symbol" w:cs="Symbol" w:hint="default"/>
        <w:w w:val="99"/>
      </w:rPr>
    </w:lvl>
    <w:lvl w:ilvl="2" w:tplc="54EAF622">
      <w:start w:val="1"/>
      <w:numFmt w:val="bullet"/>
      <w:lvlText w:val="•"/>
      <w:lvlJc w:val="left"/>
      <w:pPr>
        <w:ind w:left="2674" w:hanging="361"/>
      </w:pPr>
      <w:rPr>
        <w:rFonts w:hint="default"/>
      </w:rPr>
    </w:lvl>
    <w:lvl w:ilvl="3" w:tplc="2974C98C">
      <w:start w:val="1"/>
      <w:numFmt w:val="bullet"/>
      <w:lvlText w:val="•"/>
      <w:lvlJc w:val="left"/>
      <w:pPr>
        <w:ind w:left="3828" w:hanging="361"/>
      </w:pPr>
      <w:rPr>
        <w:rFonts w:hint="default"/>
      </w:rPr>
    </w:lvl>
    <w:lvl w:ilvl="4" w:tplc="76E00D86">
      <w:start w:val="1"/>
      <w:numFmt w:val="bullet"/>
      <w:lvlText w:val="•"/>
      <w:lvlJc w:val="left"/>
      <w:pPr>
        <w:ind w:left="4982" w:hanging="361"/>
      </w:pPr>
      <w:rPr>
        <w:rFonts w:hint="default"/>
      </w:rPr>
    </w:lvl>
    <w:lvl w:ilvl="5" w:tplc="31FAA1A8">
      <w:start w:val="1"/>
      <w:numFmt w:val="bullet"/>
      <w:lvlText w:val="•"/>
      <w:lvlJc w:val="left"/>
      <w:pPr>
        <w:ind w:left="6136" w:hanging="361"/>
      </w:pPr>
      <w:rPr>
        <w:rFonts w:hint="default"/>
      </w:rPr>
    </w:lvl>
    <w:lvl w:ilvl="6" w:tplc="429CB602">
      <w:start w:val="1"/>
      <w:numFmt w:val="bullet"/>
      <w:lvlText w:val="•"/>
      <w:lvlJc w:val="left"/>
      <w:pPr>
        <w:ind w:left="7290" w:hanging="361"/>
      </w:pPr>
      <w:rPr>
        <w:rFonts w:hint="default"/>
      </w:rPr>
    </w:lvl>
    <w:lvl w:ilvl="7" w:tplc="D8C48134">
      <w:start w:val="1"/>
      <w:numFmt w:val="bullet"/>
      <w:lvlText w:val="•"/>
      <w:lvlJc w:val="left"/>
      <w:pPr>
        <w:ind w:left="8444" w:hanging="361"/>
      </w:pPr>
      <w:rPr>
        <w:rFonts w:hint="default"/>
      </w:rPr>
    </w:lvl>
    <w:lvl w:ilvl="8" w:tplc="17DA496A">
      <w:start w:val="1"/>
      <w:numFmt w:val="bullet"/>
      <w:lvlText w:val="•"/>
      <w:lvlJc w:val="left"/>
      <w:pPr>
        <w:ind w:left="9598" w:hanging="361"/>
      </w:pPr>
      <w:rPr>
        <w:rFonts w:hint="default"/>
      </w:rPr>
    </w:lvl>
  </w:abstractNum>
  <w:abstractNum w:abstractNumId="2" w15:restartNumberingAfterBreak="0">
    <w:nsid w:val="55184643"/>
    <w:multiLevelType w:val="hybridMultilevel"/>
    <w:tmpl w:val="F9FCC8A4"/>
    <w:lvl w:ilvl="0" w:tplc="B54C9C1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494FF4"/>
    <w:multiLevelType w:val="hybridMultilevel"/>
    <w:tmpl w:val="EF0C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CC4717"/>
    <w:multiLevelType w:val="hybridMultilevel"/>
    <w:tmpl w:val="23C0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910BFE"/>
    <w:multiLevelType w:val="hybridMultilevel"/>
    <w:tmpl w:val="A6046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16912"/>
    <w:multiLevelType w:val="hybridMultilevel"/>
    <w:tmpl w:val="4E12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B84B53"/>
    <w:multiLevelType w:val="hybridMultilevel"/>
    <w:tmpl w:val="92F06DA8"/>
    <w:lvl w:ilvl="0" w:tplc="43767ED0">
      <w:numFmt w:val="bullet"/>
      <w:lvlText w:val="-"/>
      <w:lvlJc w:val="left"/>
      <w:pPr>
        <w:ind w:left="1080" w:hanging="360"/>
      </w:pPr>
      <w:rPr>
        <w:rFonts w:ascii="Karbon Medium" w:eastAsiaTheme="minorHAnsi" w:hAnsi="Karbon Medium"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E45690C"/>
    <w:multiLevelType w:val="hybridMultilevel"/>
    <w:tmpl w:val="67D6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6"/>
  </w:num>
  <w:num w:numId="5">
    <w:abstractNumId w:val="0"/>
  </w:num>
  <w:num w:numId="6">
    <w:abstractNumId w:val="5"/>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D3D"/>
    <w:rsid w:val="00002682"/>
    <w:rsid w:val="00021A37"/>
    <w:rsid w:val="00030C6F"/>
    <w:rsid w:val="00034BFF"/>
    <w:rsid w:val="00060BB3"/>
    <w:rsid w:val="00067FBB"/>
    <w:rsid w:val="0007345D"/>
    <w:rsid w:val="000836F0"/>
    <w:rsid w:val="000843C2"/>
    <w:rsid w:val="00093656"/>
    <w:rsid w:val="00097E27"/>
    <w:rsid w:val="000B443C"/>
    <w:rsid w:val="000C01FA"/>
    <w:rsid w:val="000D05F1"/>
    <w:rsid w:val="000E37EC"/>
    <w:rsid w:val="00135B80"/>
    <w:rsid w:val="001660DE"/>
    <w:rsid w:val="00186941"/>
    <w:rsid w:val="001C6C2D"/>
    <w:rsid w:val="001E200A"/>
    <w:rsid w:val="001E4A8B"/>
    <w:rsid w:val="001F6031"/>
    <w:rsid w:val="001F7211"/>
    <w:rsid w:val="00236803"/>
    <w:rsid w:val="002507D6"/>
    <w:rsid w:val="002613D6"/>
    <w:rsid w:val="00285E7B"/>
    <w:rsid w:val="00286EEB"/>
    <w:rsid w:val="002A20B3"/>
    <w:rsid w:val="002A6BC9"/>
    <w:rsid w:val="002C6988"/>
    <w:rsid w:val="002E03DF"/>
    <w:rsid w:val="00302C29"/>
    <w:rsid w:val="00305C1F"/>
    <w:rsid w:val="003137F9"/>
    <w:rsid w:val="00327B5D"/>
    <w:rsid w:val="00337CE2"/>
    <w:rsid w:val="00377C16"/>
    <w:rsid w:val="00382E94"/>
    <w:rsid w:val="00385640"/>
    <w:rsid w:val="00393285"/>
    <w:rsid w:val="003974A0"/>
    <w:rsid w:val="003B05DF"/>
    <w:rsid w:val="003C61E4"/>
    <w:rsid w:val="003D29A0"/>
    <w:rsid w:val="003E3C93"/>
    <w:rsid w:val="003E67F7"/>
    <w:rsid w:val="004074E9"/>
    <w:rsid w:val="00421253"/>
    <w:rsid w:val="00427570"/>
    <w:rsid w:val="00434CF5"/>
    <w:rsid w:val="004408E7"/>
    <w:rsid w:val="00441679"/>
    <w:rsid w:val="00451186"/>
    <w:rsid w:val="0046059E"/>
    <w:rsid w:val="00482FC2"/>
    <w:rsid w:val="0048443E"/>
    <w:rsid w:val="00486658"/>
    <w:rsid w:val="0049612C"/>
    <w:rsid w:val="004A0BC2"/>
    <w:rsid w:val="004C0AAA"/>
    <w:rsid w:val="004C303E"/>
    <w:rsid w:val="00514CE4"/>
    <w:rsid w:val="00534FA9"/>
    <w:rsid w:val="00542375"/>
    <w:rsid w:val="00547906"/>
    <w:rsid w:val="0058388C"/>
    <w:rsid w:val="005961AB"/>
    <w:rsid w:val="00596FD8"/>
    <w:rsid w:val="005A5761"/>
    <w:rsid w:val="005B6221"/>
    <w:rsid w:val="005B6B57"/>
    <w:rsid w:val="005C61F5"/>
    <w:rsid w:val="005E676A"/>
    <w:rsid w:val="005E7A20"/>
    <w:rsid w:val="005E7A38"/>
    <w:rsid w:val="0060199D"/>
    <w:rsid w:val="00605F88"/>
    <w:rsid w:val="00606891"/>
    <w:rsid w:val="00610C22"/>
    <w:rsid w:val="00610E53"/>
    <w:rsid w:val="0062348C"/>
    <w:rsid w:val="006441BD"/>
    <w:rsid w:val="00650662"/>
    <w:rsid w:val="00653132"/>
    <w:rsid w:val="00654159"/>
    <w:rsid w:val="00664D72"/>
    <w:rsid w:val="00686B3B"/>
    <w:rsid w:val="0068730B"/>
    <w:rsid w:val="0069222A"/>
    <w:rsid w:val="006B172F"/>
    <w:rsid w:val="006B79C6"/>
    <w:rsid w:val="006C3314"/>
    <w:rsid w:val="006D43CD"/>
    <w:rsid w:val="006D5603"/>
    <w:rsid w:val="006E57F5"/>
    <w:rsid w:val="006E6E8B"/>
    <w:rsid w:val="00702058"/>
    <w:rsid w:val="00707FCE"/>
    <w:rsid w:val="00724594"/>
    <w:rsid w:val="00736122"/>
    <w:rsid w:val="00760513"/>
    <w:rsid w:val="007717BC"/>
    <w:rsid w:val="007847E5"/>
    <w:rsid w:val="00797C88"/>
    <w:rsid w:val="007A0A45"/>
    <w:rsid w:val="007A1F13"/>
    <w:rsid w:val="007B68AE"/>
    <w:rsid w:val="007C0C39"/>
    <w:rsid w:val="007C3DE3"/>
    <w:rsid w:val="007C6112"/>
    <w:rsid w:val="007D0C53"/>
    <w:rsid w:val="007E3FB4"/>
    <w:rsid w:val="00801248"/>
    <w:rsid w:val="008025DC"/>
    <w:rsid w:val="00813D46"/>
    <w:rsid w:val="00824CEB"/>
    <w:rsid w:val="00863BC6"/>
    <w:rsid w:val="00884E52"/>
    <w:rsid w:val="00886997"/>
    <w:rsid w:val="00886A4D"/>
    <w:rsid w:val="008B43C6"/>
    <w:rsid w:val="008B7ABC"/>
    <w:rsid w:val="008D6E56"/>
    <w:rsid w:val="008E7BD1"/>
    <w:rsid w:val="008F0167"/>
    <w:rsid w:val="008F0A0C"/>
    <w:rsid w:val="008F6651"/>
    <w:rsid w:val="00903018"/>
    <w:rsid w:val="00935F97"/>
    <w:rsid w:val="00940936"/>
    <w:rsid w:val="00966629"/>
    <w:rsid w:val="00971946"/>
    <w:rsid w:val="00981769"/>
    <w:rsid w:val="00991F42"/>
    <w:rsid w:val="009A5017"/>
    <w:rsid w:val="009B7CDA"/>
    <w:rsid w:val="009C3F64"/>
    <w:rsid w:val="009C4242"/>
    <w:rsid w:val="009D183B"/>
    <w:rsid w:val="009D2D0A"/>
    <w:rsid w:val="009D4D5B"/>
    <w:rsid w:val="009E264C"/>
    <w:rsid w:val="009F011D"/>
    <w:rsid w:val="009F6FBE"/>
    <w:rsid w:val="00A0721B"/>
    <w:rsid w:val="00A07F92"/>
    <w:rsid w:val="00A1313F"/>
    <w:rsid w:val="00A2668A"/>
    <w:rsid w:val="00A7571D"/>
    <w:rsid w:val="00A956A8"/>
    <w:rsid w:val="00AA36F9"/>
    <w:rsid w:val="00AC14EC"/>
    <w:rsid w:val="00AD3278"/>
    <w:rsid w:val="00AE074C"/>
    <w:rsid w:val="00AE0A35"/>
    <w:rsid w:val="00AE6E05"/>
    <w:rsid w:val="00AE7BCD"/>
    <w:rsid w:val="00AF4D85"/>
    <w:rsid w:val="00B0632F"/>
    <w:rsid w:val="00B101D1"/>
    <w:rsid w:val="00B41ECD"/>
    <w:rsid w:val="00B42CEB"/>
    <w:rsid w:val="00B71819"/>
    <w:rsid w:val="00B83980"/>
    <w:rsid w:val="00B92F45"/>
    <w:rsid w:val="00B94D1D"/>
    <w:rsid w:val="00BA3F6A"/>
    <w:rsid w:val="00BA6C90"/>
    <w:rsid w:val="00BE120A"/>
    <w:rsid w:val="00BF7F37"/>
    <w:rsid w:val="00C200C0"/>
    <w:rsid w:val="00C4305F"/>
    <w:rsid w:val="00C468B8"/>
    <w:rsid w:val="00C47F84"/>
    <w:rsid w:val="00C860A6"/>
    <w:rsid w:val="00CD1DED"/>
    <w:rsid w:val="00CD25BF"/>
    <w:rsid w:val="00CD7081"/>
    <w:rsid w:val="00CF53FE"/>
    <w:rsid w:val="00D14D20"/>
    <w:rsid w:val="00D25B98"/>
    <w:rsid w:val="00D2712B"/>
    <w:rsid w:val="00D35C57"/>
    <w:rsid w:val="00D46F82"/>
    <w:rsid w:val="00D558C6"/>
    <w:rsid w:val="00DA1192"/>
    <w:rsid w:val="00DC5CD1"/>
    <w:rsid w:val="00E02ECE"/>
    <w:rsid w:val="00E04676"/>
    <w:rsid w:val="00E07527"/>
    <w:rsid w:val="00E13082"/>
    <w:rsid w:val="00E13929"/>
    <w:rsid w:val="00E26737"/>
    <w:rsid w:val="00E32D06"/>
    <w:rsid w:val="00E34003"/>
    <w:rsid w:val="00E46E75"/>
    <w:rsid w:val="00E4797B"/>
    <w:rsid w:val="00E52B50"/>
    <w:rsid w:val="00E60F88"/>
    <w:rsid w:val="00E632B5"/>
    <w:rsid w:val="00E66697"/>
    <w:rsid w:val="00E67E42"/>
    <w:rsid w:val="00E721EE"/>
    <w:rsid w:val="00E74A4F"/>
    <w:rsid w:val="00E75439"/>
    <w:rsid w:val="00E94C4D"/>
    <w:rsid w:val="00EC1C15"/>
    <w:rsid w:val="00EC3F4C"/>
    <w:rsid w:val="00ED49AD"/>
    <w:rsid w:val="00EF14B9"/>
    <w:rsid w:val="00F007CE"/>
    <w:rsid w:val="00F12BBB"/>
    <w:rsid w:val="00F14ABB"/>
    <w:rsid w:val="00F35FD8"/>
    <w:rsid w:val="00F52B14"/>
    <w:rsid w:val="00FA0A6E"/>
    <w:rsid w:val="00FC4D3D"/>
    <w:rsid w:val="00FD439F"/>
    <w:rsid w:val="00FE5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D8FDDC"/>
  <w15:chartTrackingRefBased/>
  <w15:docId w15:val="{FD76BFB3-6F7B-4AF3-89EC-0949451C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7E5"/>
    <w:pPr>
      <w:spacing w:after="0" w:line="240" w:lineRule="auto"/>
    </w:pPr>
    <w:rPr>
      <w:rFonts w:ascii="Arial" w:eastAsia="Times New Roman" w:hAnsi="Arial" w:cs="Times New Roman"/>
      <w:szCs w:val="24"/>
    </w:rPr>
  </w:style>
  <w:style w:type="paragraph" w:styleId="Heading3">
    <w:name w:val="heading 3"/>
    <w:basedOn w:val="Normal"/>
    <w:link w:val="Heading3Char"/>
    <w:uiPriority w:val="1"/>
    <w:qFormat/>
    <w:rsid w:val="00610C22"/>
    <w:pPr>
      <w:widowControl w:val="0"/>
      <w:ind w:left="794" w:right="3432"/>
      <w:outlineLvl w:val="2"/>
    </w:pPr>
    <w:rPr>
      <w:rFonts w:eastAsia="Arial" w:cs="Arial"/>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D3D"/>
    <w:pPr>
      <w:tabs>
        <w:tab w:val="center" w:pos="4513"/>
        <w:tab w:val="right" w:pos="9026"/>
      </w:tabs>
    </w:pPr>
  </w:style>
  <w:style w:type="character" w:customStyle="1" w:styleId="HeaderChar">
    <w:name w:val="Header Char"/>
    <w:basedOn w:val="DefaultParagraphFont"/>
    <w:link w:val="Header"/>
    <w:uiPriority w:val="99"/>
    <w:rsid w:val="00FC4D3D"/>
  </w:style>
  <w:style w:type="paragraph" w:styleId="Footer">
    <w:name w:val="footer"/>
    <w:basedOn w:val="Normal"/>
    <w:link w:val="FooterChar"/>
    <w:uiPriority w:val="99"/>
    <w:unhideWhenUsed/>
    <w:rsid w:val="00FC4D3D"/>
    <w:pPr>
      <w:tabs>
        <w:tab w:val="center" w:pos="4513"/>
        <w:tab w:val="right" w:pos="9026"/>
      </w:tabs>
    </w:pPr>
  </w:style>
  <w:style w:type="character" w:customStyle="1" w:styleId="FooterChar">
    <w:name w:val="Footer Char"/>
    <w:basedOn w:val="DefaultParagraphFont"/>
    <w:link w:val="Footer"/>
    <w:uiPriority w:val="99"/>
    <w:rsid w:val="00FC4D3D"/>
  </w:style>
  <w:style w:type="character" w:customStyle="1" w:styleId="Heading3Char">
    <w:name w:val="Heading 3 Char"/>
    <w:basedOn w:val="DefaultParagraphFont"/>
    <w:link w:val="Heading3"/>
    <w:uiPriority w:val="1"/>
    <w:rsid w:val="00610C22"/>
    <w:rPr>
      <w:rFonts w:ascii="Arial" w:eastAsia="Arial" w:hAnsi="Arial" w:cs="Arial"/>
      <w:b/>
      <w:bCs/>
      <w:sz w:val="24"/>
      <w:szCs w:val="24"/>
      <w:lang w:val="en-US"/>
    </w:rPr>
  </w:style>
  <w:style w:type="paragraph" w:styleId="BodyText">
    <w:name w:val="Body Text"/>
    <w:basedOn w:val="Normal"/>
    <w:link w:val="BodyTextChar"/>
    <w:uiPriority w:val="1"/>
    <w:qFormat/>
    <w:rsid w:val="00610C22"/>
    <w:pPr>
      <w:widowControl w:val="0"/>
    </w:pPr>
    <w:rPr>
      <w:rFonts w:eastAsia="Arial" w:cs="Arial"/>
      <w:sz w:val="20"/>
      <w:szCs w:val="20"/>
      <w:lang w:val="en-US"/>
    </w:rPr>
  </w:style>
  <w:style w:type="character" w:customStyle="1" w:styleId="BodyTextChar">
    <w:name w:val="Body Text Char"/>
    <w:basedOn w:val="DefaultParagraphFont"/>
    <w:link w:val="BodyText"/>
    <w:uiPriority w:val="1"/>
    <w:rsid w:val="00610C22"/>
    <w:rPr>
      <w:rFonts w:ascii="Arial" w:eastAsia="Arial" w:hAnsi="Arial" w:cs="Arial"/>
      <w:sz w:val="20"/>
      <w:szCs w:val="20"/>
      <w:lang w:val="en-US"/>
    </w:rPr>
  </w:style>
  <w:style w:type="paragraph" w:styleId="ListParagraph">
    <w:name w:val="List Paragraph"/>
    <w:basedOn w:val="Normal"/>
    <w:uiPriority w:val="34"/>
    <w:qFormat/>
    <w:rsid w:val="007D0C53"/>
    <w:pPr>
      <w:widowControl w:val="0"/>
      <w:spacing w:line="244" w:lineRule="exact"/>
      <w:ind w:left="1514" w:hanging="360"/>
    </w:pPr>
    <w:rPr>
      <w:rFonts w:eastAsia="Arial" w:cs="Arial"/>
      <w:lang w:val="en-US"/>
    </w:rPr>
  </w:style>
  <w:style w:type="character" w:styleId="Hyperlink">
    <w:name w:val="Hyperlink"/>
    <w:basedOn w:val="DefaultParagraphFont"/>
    <w:uiPriority w:val="99"/>
    <w:rsid w:val="007D0C53"/>
    <w:rPr>
      <w:color w:val="0563C1" w:themeColor="hyperlink"/>
      <w:u w:val="single"/>
    </w:rPr>
  </w:style>
  <w:style w:type="table" w:styleId="TableGrid">
    <w:name w:val="Table Grid"/>
    <w:basedOn w:val="TableNormal"/>
    <w:uiPriority w:val="59"/>
    <w:rsid w:val="00784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6697"/>
    <w:rPr>
      <w:rFonts w:ascii="Tahoma" w:hAnsi="Tahoma" w:cs="Tahoma"/>
      <w:sz w:val="16"/>
      <w:szCs w:val="16"/>
    </w:rPr>
  </w:style>
  <w:style w:type="character" w:customStyle="1" w:styleId="BalloonTextChar">
    <w:name w:val="Balloon Text Char"/>
    <w:basedOn w:val="DefaultParagraphFont"/>
    <w:link w:val="BalloonText"/>
    <w:uiPriority w:val="99"/>
    <w:semiHidden/>
    <w:rsid w:val="00E6669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4026F-B8F2-494A-89C4-1E293A31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Sapsford</dc:creator>
  <cp:keywords/>
  <dc:description/>
  <cp:lastModifiedBy>Jason Thompson</cp:lastModifiedBy>
  <cp:revision>4</cp:revision>
  <dcterms:created xsi:type="dcterms:W3CDTF">2019-09-23T14:20:00Z</dcterms:created>
  <dcterms:modified xsi:type="dcterms:W3CDTF">2019-09-24T13:23:00Z</dcterms:modified>
</cp:coreProperties>
</file>